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5B" w:rsidRDefault="006E0628">
      <w:pPr>
        <w:pStyle w:val="Yltunniste"/>
        <w:tabs>
          <w:tab w:val="clear" w:pos="4819"/>
          <w:tab w:val="clear" w:pos="9638"/>
        </w:tabs>
        <w:jc w:val="right"/>
        <w:rPr>
          <w:b/>
          <w:bCs/>
        </w:rPr>
      </w:pPr>
      <w:r>
        <w:rPr>
          <w:b/>
          <w:bCs/>
        </w:rPr>
        <w:t>Ilmoitus</w:t>
      </w:r>
      <w:r w:rsidR="00395753">
        <w:rPr>
          <w:b/>
          <w:bCs/>
        </w:rPr>
        <w:t xml:space="preserve"> </w:t>
      </w:r>
      <w:r w:rsidR="00AD7D6E">
        <w:rPr>
          <w:b/>
          <w:bCs/>
        </w:rPr>
        <w:t>2</w:t>
      </w:r>
      <w:r w:rsidR="00E73C5B">
        <w:rPr>
          <w:b/>
          <w:bCs/>
        </w:rPr>
        <w:t>/20</w:t>
      </w:r>
      <w:r w:rsidR="00B965C7">
        <w:rPr>
          <w:b/>
          <w:bCs/>
        </w:rPr>
        <w:t>1</w:t>
      </w:r>
      <w:r w:rsidR="00AD7D6E">
        <w:rPr>
          <w:b/>
          <w:bCs/>
        </w:rPr>
        <w:t>6</w:t>
      </w:r>
      <w:r w:rsidR="00E73C5B">
        <w:rPr>
          <w:b/>
          <w:bCs/>
        </w:rPr>
        <w:t xml:space="preserve"> kirkolliskokoukselle</w:t>
      </w:r>
    </w:p>
    <w:p w:rsidR="00E73C5B" w:rsidRDefault="00E73C5B">
      <w:pPr>
        <w:pStyle w:val="Yltunniste"/>
        <w:tabs>
          <w:tab w:val="clear" w:pos="4819"/>
          <w:tab w:val="clear" w:pos="9638"/>
        </w:tabs>
        <w:jc w:val="right"/>
        <w:rPr>
          <w:b/>
          <w:bCs/>
        </w:rPr>
      </w:pPr>
      <w:r>
        <w:rPr>
          <w:b/>
          <w:bCs/>
        </w:rPr>
        <w:t>Kirkkohallitus</w:t>
      </w:r>
    </w:p>
    <w:p w:rsidR="006543D3" w:rsidRPr="00A23AEC" w:rsidRDefault="006543D3" w:rsidP="006B56D6">
      <w:pPr>
        <w:jc w:val="right"/>
        <w:rPr>
          <w:b/>
          <w:szCs w:val="24"/>
        </w:rPr>
      </w:pPr>
    </w:p>
    <w:p w:rsidR="00E73C5B" w:rsidRPr="00A23AEC" w:rsidRDefault="006B56D6" w:rsidP="006B56D6">
      <w:pPr>
        <w:jc w:val="right"/>
        <w:rPr>
          <w:szCs w:val="24"/>
        </w:rPr>
      </w:pPr>
      <w:r w:rsidRPr="00A23AEC">
        <w:rPr>
          <w:szCs w:val="24"/>
        </w:rPr>
        <w:t>Asianumero DKIR/753/02.00.02/2016</w:t>
      </w:r>
    </w:p>
    <w:p w:rsidR="006543D3" w:rsidRPr="00A23AEC" w:rsidRDefault="006543D3" w:rsidP="006B56D6">
      <w:pPr>
        <w:jc w:val="right"/>
        <w:rPr>
          <w:szCs w:val="24"/>
        </w:rPr>
      </w:pPr>
      <w:r w:rsidRPr="00A23AEC">
        <w:rPr>
          <w:szCs w:val="24"/>
        </w:rPr>
        <w:t>KK2016-</w:t>
      </w:r>
      <w:r w:rsidR="00B910B4" w:rsidRPr="00A23AEC">
        <w:rPr>
          <w:szCs w:val="24"/>
        </w:rPr>
        <w:t>00014</w:t>
      </w:r>
    </w:p>
    <w:p w:rsidR="00E73C5B" w:rsidRPr="00A23AEC" w:rsidRDefault="00E73C5B"/>
    <w:p w:rsidR="00E73C5B" w:rsidRPr="00A23AEC" w:rsidRDefault="00E73C5B"/>
    <w:p w:rsidR="00E73C5B" w:rsidRDefault="00E73C5B"/>
    <w:p w:rsidR="00E73C5B" w:rsidRDefault="00E73C5B"/>
    <w:p w:rsidR="00E73C5B" w:rsidRDefault="00E73C5B"/>
    <w:p w:rsidR="00E73C5B" w:rsidRDefault="00E73C5B"/>
    <w:p w:rsidR="00E73C5B" w:rsidRDefault="00E73C5B"/>
    <w:p w:rsidR="006B56D6" w:rsidRDefault="006B56D6" w:rsidP="00767DAA">
      <w:pPr>
        <w:autoSpaceDE w:val="0"/>
        <w:autoSpaceDN w:val="0"/>
        <w:adjustRightInd w:val="0"/>
        <w:rPr>
          <w:b/>
          <w:color w:val="000000"/>
          <w:szCs w:val="24"/>
        </w:rPr>
      </w:pPr>
    </w:p>
    <w:p w:rsidR="0062141C" w:rsidRDefault="00FC7AA8" w:rsidP="00767DAA">
      <w:pPr>
        <w:autoSpaceDE w:val="0"/>
        <w:autoSpaceDN w:val="0"/>
        <w:adjustRightInd w:val="0"/>
        <w:rPr>
          <w:b/>
          <w:color w:val="000000"/>
          <w:szCs w:val="24"/>
        </w:rPr>
      </w:pPr>
      <w:r w:rsidRPr="00FC7AA8">
        <w:rPr>
          <w:b/>
          <w:color w:val="000000"/>
          <w:szCs w:val="24"/>
        </w:rPr>
        <w:t xml:space="preserve">KIRKON </w:t>
      </w:r>
      <w:r w:rsidR="0062141C">
        <w:rPr>
          <w:b/>
          <w:color w:val="000000"/>
          <w:szCs w:val="24"/>
        </w:rPr>
        <w:t xml:space="preserve">ELÄKERAHASTON JA KIRKON </w:t>
      </w:r>
      <w:r w:rsidRPr="00FC7AA8">
        <w:rPr>
          <w:b/>
          <w:color w:val="000000"/>
          <w:szCs w:val="24"/>
        </w:rPr>
        <w:t xml:space="preserve">KESKUSRAHASTON </w:t>
      </w:r>
    </w:p>
    <w:p w:rsidR="00FC7AA8" w:rsidRPr="00FC7AA8" w:rsidRDefault="00FC7AA8" w:rsidP="00767DAA">
      <w:pPr>
        <w:autoSpaceDE w:val="0"/>
        <w:autoSpaceDN w:val="0"/>
        <w:adjustRightInd w:val="0"/>
        <w:rPr>
          <w:b/>
          <w:color w:val="000000"/>
          <w:szCs w:val="24"/>
        </w:rPr>
      </w:pPr>
      <w:r w:rsidRPr="00FC7AA8">
        <w:rPr>
          <w:b/>
          <w:color w:val="000000"/>
          <w:szCs w:val="24"/>
        </w:rPr>
        <w:t>TALOUDELLINEN TILANNE</w:t>
      </w:r>
    </w:p>
    <w:p w:rsidR="00767DAA" w:rsidRDefault="00767DAA" w:rsidP="0086334F">
      <w:pPr>
        <w:autoSpaceDE w:val="0"/>
        <w:autoSpaceDN w:val="0"/>
        <w:adjustRightInd w:val="0"/>
        <w:jc w:val="both"/>
        <w:rPr>
          <w:color w:val="000000"/>
          <w:szCs w:val="24"/>
        </w:rPr>
      </w:pPr>
    </w:p>
    <w:p w:rsidR="00FC7AA8" w:rsidRDefault="00FC7AA8"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sidRPr="00B10115">
        <w:rPr>
          <w:color w:val="000000"/>
          <w:szCs w:val="24"/>
        </w:rPr>
        <w:t xml:space="preserve">Kirkkohallitus antaa kevätistuntokaudella kirkolliskokoukselle työjärjestyksen 44 §:n 1 momentin mukaisen kirjallisen ilmoituksen, jossa selostetaan Kirkon keskusrahaston taloudellista tilannetta ja todetaan kuluvan vuoden talousarvion toteutuma sekä kirkkohallituksen hyväksymät seuraavan vuoden talousarviokehykset. </w:t>
      </w:r>
    </w:p>
    <w:p w:rsidR="00767DAA" w:rsidRPr="00B10115"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sidRPr="00B10115">
        <w:rPr>
          <w:color w:val="000000"/>
          <w:szCs w:val="24"/>
        </w:rPr>
        <w:t xml:space="preserve">Samalla ilmoituksessa annetaan määräpäivä, johon mennessä kirkolliskokousedustajat saavat lähettää suoraan kirkkohallitukselle </w:t>
      </w:r>
      <w:r w:rsidRPr="00B10115">
        <w:rPr>
          <w:i/>
          <w:iCs/>
          <w:color w:val="000000"/>
          <w:szCs w:val="24"/>
        </w:rPr>
        <w:t>ehdotuksia</w:t>
      </w:r>
      <w:r w:rsidRPr="00B10115">
        <w:rPr>
          <w:color w:val="000000"/>
          <w:szCs w:val="24"/>
        </w:rPr>
        <w:t xml:space="preserve"> talousarvioon otettavista määrärahoista. Nämä ehdotukset ovat mukana normaalissa talousarvion valmisteluprosessissa ja kirkkohallitus ottaa talousarvioesityksessään kantaa kaikkiin näihin ehdotuksiin.</w:t>
      </w:r>
    </w:p>
    <w:p w:rsidR="00767DAA" w:rsidRPr="00B10115"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sidRPr="00B10115">
        <w:rPr>
          <w:color w:val="000000"/>
          <w:szCs w:val="24"/>
        </w:rPr>
        <w:t xml:space="preserve">Edelleen on voimassa talousarvioaloitteita koskeva työjärjestyksen määräys. Kirkolliskokousedustaja voi syksyllä </w:t>
      </w:r>
      <w:r w:rsidRPr="00B10115">
        <w:rPr>
          <w:i/>
          <w:iCs/>
          <w:color w:val="000000"/>
          <w:szCs w:val="24"/>
        </w:rPr>
        <w:t>virallisen talousarvioaloitteen</w:t>
      </w:r>
      <w:r w:rsidRPr="00B10115">
        <w:rPr>
          <w:color w:val="000000"/>
          <w:szCs w:val="24"/>
        </w:rPr>
        <w:t xml:space="preserve"> kautta tuoda kirkkohallitukselle tekemänsä ehdotuksen kirkolliskokouksen päätettäväksi, jos kirkkohallituksen ratkaisu ei tyydytä. Edustaja voi myös tehdä aloitteen kirkkohallituksen esitykseen sisältymättömän määrärahan ottamisesta talousarvioon tai esitykseen sisältyvän määrärahan muuttamisesta kuten ennenkin. </w:t>
      </w:r>
    </w:p>
    <w:p w:rsidR="00767DAA" w:rsidRDefault="00767DAA" w:rsidP="0086334F">
      <w:pPr>
        <w:keepNext/>
        <w:autoSpaceDE w:val="0"/>
        <w:autoSpaceDN w:val="0"/>
        <w:adjustRightInd w:val="0"/>
        <w:jc w:val="both"/>
        <w:rPr>
          <w:color w:val="000000"/>
          <w:szCs w:val="24"/>
        </w:rPr>
      </w:pPr>
    </w:p>
    <w:p w:rsidR="00767DAA" w:rsidRDefault="0062141C" w:rsidP="0086334F">
      <w:pPr>
        <w:autoSpaceDE w:val="0"/>
        <w:autoSpaceDN w:val="0"/>
        <w:adjustRightInd w:val="0"/>
        <w:jc w:val="both"/>
        <w:rPr>
          <w:b/>
          <w:i/>
          <w:iCs/>
          <w:color w:val="000000"/>
          <w:szCs w:val="24"/>
        </w:rPr>
      </w:pPr>
      <w:r>
        <w:rPr>
          <w:b/>
          <w:i/>
          <w:iCs/>
          <w:color w:val="000000"/>
          <w:szCs w:val="24"/>
        </w:rPr>
        <w:t>Vuosi 2016</w:t>
      </w:r>
    </w:p>
    <w:p w:rsidR="0062141C" w:rsidRDefault="0062141C" w:rsidP="0086334F">
      <w:pPr>
        <w:autoSpaceDE w:val="0"/>
        <w:autoSpaceDN w:val="0"/>
        <w:adjustRightInd w:val="0"/>
        <w:jc w:val="both"/>
        <w:rPr>
          <w:b/>
          <w:i/>
          <w:iCs/>
          <w:color w:val="000000"/>
          <w:szCs w:val="24"/>
        </w:rPr>
      </w:pPr>
    </w:p>
    <w:p w:rsidR="0062141C" w:rsidRPr="0062141C" w:rsidRDefault="0062141C" w:rsidP="0086334F">
      <w:pPr>
        <w:autoSpaceDE w:val="0"/>
        <w:autoSpaceDN w:val="0"/>
        <w:adjustRightInd w:val="0"/>
        <w:jc w:val="both"/>
        <w:rPr>
          <w:iCs/>
          <w:color w:val="000000"/>
          <w:szCs w:val="24"/>
          <w:u w:val="single"/>
        </w:rPr>
      </w:pPr>
      <w:r>
        <w:rPr>
          <w:iCs/>
          <w:color w:val="000000"/>
          <w:szCs w:val="24"/>
          <w:u w:val="single"/>
        </w:rPr>
        <w:t>Kirkon eläkerahasto</w:t>
      </w:r>
    </w:p>
    <w:p w:rsidR="00767DAA" w:rsidRPr="00B10115" w:rsidRDefault="00767DAA" w:rsidP="0086334F">
      <w:pPr>
        <w:keepNext/>
        <w:autoSpaceDE w:val="0"/>
        <w:autoSpaceDN w:val="0"/>
        <w:adjustRightInd w:val="0"/>
        <w:jc w:val="both"/>
        <w:rPr>
          <w:color w:val="000000"/>
          <w:szCs w:val="24"/>
        </w:rPr>
      </w:pPr>
    </w:p>
    <w:p w:rsidR="0062141C" w:rsidRDefault="0062141C" w:rsidP="0086334F">
      <w:pPr>
        <w:autoSpaceDE w:val="0"/>
        <w:autoSpaceDN w:val="0"/>
        <w:adjustRightInd w:val="0"/>
        <w:rPr>
          <w:color w:val="000000"/>
          <w:szCs w:val="24"/>
        </w:rPr>
      </w:pPr>
      <w:r>
        <w:rPr>
          <w:color w:val="000000"/>
          <w:szCs w:val="24"/>
        </w:rPr>
        <w:t xml:space="preserve">Kirkon eläkerahasto on eriytetty Kirkon keskusrahaston muusta toiminnasta vuoden 2016 alusta lukien. Tämä toteutui osana kirkon keskushallinnon uudistusta. Kirkon eläkerahastolla on oma Y-tunnus. Jatkossa Kirkon eläkerahastolla ja Kirkon keskusrahastolla on erilliset talousarviot ja tilinpäätökset. </w:t>
      </w:r>
    </w:p>
    <w:p w:rsidR="0062141C" w:rsidRDefault="0062141C" w:rsidP="0086334F">
      <w:pPr>
        <w:autoSpaceDE w:val="0"/>
        <w:autoSpaceDN w:val="0"/>
        <w:adjustRightInd w:val="0"/>
        <w:rPr>
          <w:color w:val="000000"/>
          <w:szCs w:val="24"/>
        </w:rPr>
      </w:pPr>
    </w:p>
    <w:p w:rsidR="0062141C" w:rsidRDefault="0062141C" w:rsidP="0086334F">
      <w:pPr>
        <w:autoSpaceDE w:val="0"/>
        <w:autoSpaceDN w:val="0"/>
        <w:adjustRightInd w:val="0"/>
        <w:rPr>
          <w:color w:val="000000"/>
          <w:szCs w:val="24"/>
        </w:rPr>
      </w:pPr>
      <w:proofErr w:type="spellStart"/>
      <w:r>
        <w:rPr>
          <w:color w:val="000000"/>
          <w:szCs w:val="24"/>
        </w:rPr>
        <w:t>Keva</w:t>
      </w:r>
      <w:proofErr w:type="spellEnd"/>
      <w:r>
        <w:rPr>
          <w:color w:val="000000"/>
          <w:szCs w:val="24"/>
        </w:rPr>
        <w:t xml:space="preserve"> hoitaa kirkon eläkelain mukaisen eläketurvan täytäntöönpanon. </w:t>
      </w:r>
      <w:proofErr w:type="spellStart"/>
      <w:r>
        <w:rPr>
          <w:color w:val="000000"/>
          <w:szCs w:val="24"/>
        </w:rPr>
        <w:t>Keva</w:t>
      </w:r>
      <w:proofErr w:type="spellEnd"/>
      <w:r>
        <w:rPr>
          <w:color w:val="000000"/>
          <w:szCs w:val="24"/>
        </w:rPr>
        <w:t xml:space="preserve"> hoitaa myös aktuaaritoimen, vuosittaisen eläkevastuulaskennan sekä eläkemaksujen keräämisen. Kirkon keskusrahaston vastuulla on eläkejärjestelmän rahoittaminen sekä eläkerahaston sijoitustoiminta. </w:t>
      </w:r>
    </w:p>
    <w:p w:rsidR="0062141C" w:rsidRDefault="0062141C" w:rsidP="0086334F">
      <w:pPr>
        <w:autoSpaceDE w:val="0"/>
        <w:autoSpaceDN w:val="0"/>
        <w:adjustRightInd w:val="0"/>
        <w:rPr>
          <w:color w:val="000000"/>
          <w:szCs w:val="24"/>
        </w:rPr>
      </w:pPr>
    </w:p>
    <w:p w:rsidR="0062141C" w:rsidRPr="00CF27CD" w:rsidRDefault="0062141C" w:rsidP="0086334F">
      <w:pPr>
        <w:autoSpaceDE w:val="0"/>
        <w:autoSpaceDN w:val="0"/>
        <w:adjustRightInd w:val="0"/>
        <w:rPr>
          <w:szCs w:val="24"/>
        </w:rPr>
      </w:pPr>
      <w:r>
        <w:rPr>
          <w:color w:val="000000"/>
          <w:szCs w:val="24"/>
        </w:rPr>
        <w:t>Vuosi 2016 on käynnistynyt eläkerahaston sijoitustoiminnan os</w:t>
      </w:r>
      <w:r w:rsidR="00CF27CD">
        <w:rPr>
          <w:color w:val="000000"/>
          <w:szCs w:val="24"/>
        </w:rPr>
        <w:t xml:space="preserve">alta </w:t>
      </w:r>
      <w:proofErr w:type="spellStart"/>
      <w:r w:rsidR="00CF27CD">
        <w:rPr>
          <w:color w:val="000000"/>
          <w:szCs w:val="24"/>
        </w:rPr>
        <w:t>heikohkosti</w:t>
      </w:r>
      <w:proofErr w:type="spellEnd"/>
      <w:r w:rsidR="00CF27CD">
        <w:rPr>
          <w:color w:val="000000"/>
          <w:szCs w:val="24"/>
        </w:rPr>
        <w:t xml:space="preserve">, eläkerahaston </w:t>
      </w:r>
      <w:r w:rsidR="00CF27CD" w:rsidRPr="00CF27CD">
        <w:rPr>
          <w:szCs w:val="24"/>
        </w:rPr>
        <w:t xml:space="preserve">tuotto 31.3.16 (YTD) oli </w:t>
      </w:r>
      <w:bookmarkStart w:id="0" w:name="_GoBack"/>
      <w:bookmarkEnd w:id="0"/>
      <w:proofErr w:type="gramStart"/>
      <w:r w:rsidR="00CF27CD">
        <w:rPr>
          <w:szCs w:val="24"/>
        </w:rPr>
        <w:t>–</w:t>
      </w:r>
      <w:r w:rsidR="00CF27CD" w:rsidRPr="00CF27CD">
        <w:rPr>
          <w:szCs w:val="24"/>
        </w:rPr>
        <w:t>0</w:t>
      </w:r>
      <w:proofErr w:type="gramEnd"/>
      <w:r w:rsidR="00CF27CD" w:rsidRPr="00CF27CD">
        <w:rPr>
          <w:szCs w:val="24"/>
        </w:rPr>
        <w:t xml:space="preserve">,7 ja rahaston koko 1,3 </w:t>
      </w:r>
      <w:proofErr w:type="spellStart"/>
      <w:r w:rsidR="00CF27CD" w:rsidRPr="00CF27CD">
        <w:rPr>
          <w:szCs w:val="24"/>
        </w:rPr>
        <w:t>mrd</w:t>
      </w:r>
      <w:proofErr w:type="spellEnd"/>
      <w:r w:rsidR="00CF27CD" w:rsidRPr="00CF27CD">
        <w:rPr>
          <w:szCs w:val="24"/>
        </w:rPr>
        <w:t xml:space="preserve"> euroa</w:t>
      </w:r>
      <w:r w:rsidR="00C36380" w:rsidRPr="00CF27CD">
        <w:rPr>
          <w:szCs w:val="24"/>
        </w:rPr>
        <w:t xml:space="preserve">. </w:t>
      </w:r>
    </w:p>
    <w:p w:rsidR="00C36380" w:rsidRDefault="00C36380" w:rsidP="0086334F">
      <w:pPr>
        <w:autoSpaceDE w:val="0"/>
        <w:autoSpaceDN w:val="0"/>
        <w:adjustRightInd w:val="0"/>
        <w:rPr>
          <w:color w:val="000000"/>
          <w:szCs w:val="24"/>
        </w:rPr>
      </w:pPr>
    </w:p>
    <w:p w:rsidR="006B56D6" w:rsidRDefault="006B56D6">
      <w:pPr>
        <w:rPr>
          <w:color w:val="000000"/>
          <w:szCs w:val="24"/>
          <w:u w:val="single"/>
        </w:rPr>
      </w:pPr>
      <w:r>
        <w:rPr>
          <w:color w:val="000000"/>
          <w:szCs w:val="24"/>
          <w:u w:val="single"/>
        </w:rPr>
        <w:br w:type="page"/>
      </w:r>
    </w:p>
    <w:p w:rsidR="00C36380" w:rsidRPr="00C36380" w:rsidRDefault="00C36380" w:rsidP="0086334F">
      <w:pPr>
        <w:autoSpaceDE w:val="0"/>
        <w:autoSpaceDN w:val="0"/>
        <w:adjustRightInd w:val="0"/>
        <w:rPr>
          <w:color w:val="000000"/>
          <w:szCs w:val="24"/>
          <w:u w:val="single"/>
        </w:rPr>
      </w:pPr>
      <w:r w:rsidRPr="00C36380">
        <w:rPr>
          <w:color w:val="000000"/>
          <w:szCs w:val="24"/>
          <w:u w:val="single"/>
        </w:rPr>
        <w:lastRenderedPageBreak/>
        <w:t>Kirkon keskusrahasto</w:t>
      </w:r>
    </w:p>
    <w:p w:rsidR="0062141C" w:rsidRDefault="0062141C" w:rsidP="0086334F">
      <w:pPr>
        <w:autoSpaceDE w:val="0"/>
        <w:autoSpaceDN w:val="0"/>
        <w:adjustRightInd w:val="0"/>
        <w:rPr>
          <w:color w:val="000000"/>
          <w:szCs w:val="24"/>
        </w:rPr>
      </w:pPr>
    </w:p>
    <w:p w:rsidR="00C36380" w:rsidRDefault="00C36380" w:rsidP="0086334F">
      <w:pPr>
        <w:autoSpaceDE w:val="0"/>
        <w:autoSpaceDN w:val="0"/>
        <w:adjustRightInd w:val="0"/>
        <w:rPr>
          <w:color w:val="000000"/>
          <w:szCs w:val="24"/>
        </w:rPr>
      </w:pPr>
      <w:r>
        <w:rPr>
          <w:color w:val="000000"/>
          <w:szCs w:val="24"/>
        </w:rPr>
        <w:t xml:space="preserve">Kirkon keskusrahasto jakautuu selkeästi kahteen erilliseen osa-alueeseen alla olevan mukaisesti. Kummatkin osa-alueet rahoitetaan eri tavalla ja niitä seurataan erillään toisistaan. </w:t>
      </w:r>
    </w:p>
    <w:p w:rsidR="00C36380" w:rsidRDefault="00C36380" w:rsidP="0086334F">
      <w:pPr>
        <w:autoSpaceDE w:val="0"/>
        <w:autoSpaceDN w:val="0"/>
        <w:adjustRightInd w:val="0"/>
        <w:rPr>
          <w:color w:val="000000"/>
          <w:szCs w:val="24"/>
        </w:rPr>
      </w:pPr>
    </w:p>
    <w:p w:rsidR="00767DAA" w:rsidRPr="00B10115" w:rsidRDefault="00767DAA" w:rsidP="00767DAA">
      <w:pPr>
        <w:autoSpaceDE w:val="0"/>
        <w:autoSpaceDN w:val="0"/>
        <w:adjustRightInd w:val="0"/>
        <w:rPr>
          <w:color w:val="000000"/>
          <w:szCs w:val="24"/>
        </w:rPr>
      </w:pPr>
    </w:p>
    <w:tbl>
      <w:tblPr>
        <w:tblW w:w="0" w:type="auto"/>
        <w:tblLayout w:type="fixed"/>
        <w:tblLook w:val="00A0" w:firstRow="1" w:lastRow="0" w:firstColumn="1" w:lastColumn="0" w:noHBand="0" w:noVBand="0"/>
      </w:tblPr>
      <w:tblGrid>
        <w:gridCol w:w="2969"/>
        <w:gridCol w:w="2552"/>
      </w:tblGrid>
      <w:tr w:rsidR="00C36380" w:rsidRPr="00B10115" w:rsidTr="00C36380">
        <w:tc>
          <w:tcPr>
            <w:tcW w:w="2969"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r w:rsidRPr="00B10115">
              <w:rPr>
                <w:color w:val="000000"/>
                <w:szCs w:val="24"/>
              </w:rPr>
              <w:t>Kirkon yhteinen toiminta</w:t>
            </w:r>
          </w:p>
        </w:tc>
        <w:tc>
          <w:tcPr>
            <w:tcW w:w="2552"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r w:rsidRPr="00B10115">
              <w:rPr>
                <w:color w:val="000000"/>
                <w:szCs w:val="24"/>
              </w:rPr>
              <w:t>Kirkon palvelukeskus</w:t>
            </w:r>
          </w:p>
        </w:tc>
      </w:tr>
      <w:tr w:rsidR="00C36380" w:rsidRPr="00B10115" w:rsidTr="00C36380">
        <w:tc>
          <w:tcPr>
            <w:tcW w:w="2969"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r w:rsidRPr="00B10115">
              <w:rPr>
                <w:color w:val="000000"/>
                <w:szCs w:val="24"/>
              </w:rPr>
              <w:t>Kirkkohallitus</w:t>
            </w:r>
          </w:p>
        </w:tc>
        <w:tc>
          <w:tcPr>
            <w:tcW w:w="2552"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p>
        </w:tc>
      </w:tr>
      <w:tr w:rsidR="00C36380" w:rsidRPr="00B10115" w:rsidTr="00C36380">
        <w:tc>
          <w:tcPr>
            <w:tcW w:w="2969"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r w:rsidRPr="00B10115">
              <w:rPr>
                <w:color w:val="000000"/>
                <w:szCs w:val="24"/>
              </w:rPr>
              <w:t>Hiippakunnallinen toiminta</w:t>
            </w:r>
          </w:p>
        </w:tc>
        <w:tc>
          <w:tcPr>
            <w:tcW w:w="2552"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p>
        </w:tc>
      </w:tr>
      <w:tr w:rsidR="00C36380" w:rsidRPr="00B10115" w:rsidTr="00C36380">
        <w:tc>
          <w:tcPr>
            <w:tcW w:w="2969"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r w:rsidRPr="00B10115">
              <w:rPr>
                <w:color w:val="000000"/>
                <w:szCs w:val="24"/>
              </w:rPr>
              <w:t>Avustukset</w:t>
            </w:r>
          </w:p>
        </w:tc>
        <w:tc>
          <w:tcPr>
            <w:tcW w:w="2552"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p>
        </w:tc>
      </w:tr>
      <w:tr w:rsidR="00C36380" w:rsidRPr="00B10115" w:rsidTr="00C36380">
        <w:tc>
          <w:tcPr>
            <w:tcW w:w="2969"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r w:rsidRPr="00B10115">
              <w:rPr>
                <w:color w:val="000000"/>
                <w:szCs w:val="24"/>
              </w:rPr>
              <w:t>Seurakuntamaksutulot</w:t>
            </w:r>
          </w:p>
        </w:tc>
        <w:tc>
          <w:tcPr>
            <w:tcW w:w="2552" w:type="dxa"/>
            <w:tcBorders>
              <w:top w:val="single" w:sz="6" w:space="0" w:color="000000"/>
              <w:left w:val="single" w:sz="6" w:space="0" w:color="000000"/>
              <w:bottom w:val="single" w:sz="6" w:space="0" w:color="000000"/>
              <w:right w:val="single" w:sz="6" w:space="0" w:color="000000"/>
            </w:tcBorders>
          </w:tcPr>
          <w:p w:rsidR="00C36380" w:rsidRPr="00B10115" w:rsidRDefault="00C36380" w:rsidP="00152D58">
            <w:pPr>
              <w:autoSpaceDE w:val="0"/>
              <w:autoSpaceDN w:val="0"/>
              <w:adjustRightInd w:val="0"/>
              <w:rPr>
                <w:color w:val="000000"/>
                <w:szCs w:val="24"/>
              </w:rPr>
            </w:pPr>
            <w:r w:rsidRPr="00B10115">
              <w:rPr>
                <w:color w:val="000000"/>
                <w:szCs w:val="24"/>
              </w:rPr>
              <w:t>Palvelumaksutulot</w:t>
            </w:r>
          </w:p>
        </w:tc>
      </w:tr>
    </w:tbl>
    <w:p w:rsidR="00767DAA" w:rsidRPr="00B10115" w:rsidRDefault="00767DAA" w:rsidP="00767DAA">
      <w:pPr>
        <w:autoSpaceDE w:val="0"/>
        <w:autoSpaceDN w:val="0"/>
        <w:adjustRightInd w:val="0"/>
        <w:rPr>
          <w:color w:val="000000"/>
          <w:szCs w:val="24"/>
        </w:rPr>
      </w:pPr>
    </w:p>
    <w:p w:rsidR="00767DAA" w:rsidRPr="00DA0491" w:rsidRDefault="00767DAA" w:rsidP="00767DAA">
      <w:pPr>
        <w:autoSpaceDE w:val="0"/>
        <w:autoSpaceDN w:val="0"/>
        <w:adjustRightInd w:val="0"/>
        <w:rPr>
          <w:iCs/>
          <w:color w:val="000000"/>
          <w:szCs w:val="24"/>
        </w:rPr>
      </w:pPr>
    </w:p>
    <w:p w:rsidR="00767DAA" w:rsidRDefault="00767DAA" w:rsidP="0086334F">
      <w:pPr>
        <w:autoSpaceDE w:val="0"/>
        <w:autoSpaceDN w:val="0"/>
        <w:adjustRightInd w:val="0"/>
        <w:jc w:val="both"/>
        <w:rPr>
          <w:color w:val="000000"/>
          <w:szCs w:val="24"/>
          <w:u w:val="single"/>
        </w:rPr>
      </w:pPr>
      <w:r w:rsidRPr="00B10115">
        <w:rPr>
          <w:color w:val="000000"/>
          <w:szCs w:val="24"/>
          <w:u w:val="single"/>
        </w:rPr>
        <w:t>Kirkon yhteinen toiminta</w:t>
      </w:r>
    </w:p>
    <w:p w:rsidR="00767DAA" w:rsidRPr="00B10115" w:rsidRDefault="00767DAA" w:rsidP="0086334F">
      <w:pPr>
        <w:autoSpaceDE w:val="0"/>
        <w:autoSpaceDN w:val="0"/>
        <w:adjustRightInd w:val="0"/>
        <w:jc w:val="both"/>
        <w:rPr>
          <w:color w:val="000000"/>
          <w:szCs w:val="24"/>
          <w:u w:val="single"/>
        </w:rPr>
      </w:pPr>
    </w:p>
    <w:p w:rsidR="00767DAA" w:rsidRDefault="00767DAA" w:rsidP="0086334F">
      <w:pPr>
        <w:autoSpaceDE w:val="0"/>
        <w:autoSpaceDN w:val="0"/>
        <w:adjustRightInd w:val="0"/>
        <w:jc w:val="both"/>
        <w:rPr>
          <w:color w:val="000000"/>
          <w:szCs w:val="24"/>
        </w:rPr>
      </w:pPr>
      <w:r>
        <w:rPr>
          <w:color w:val="000000"/>
          <w:szCs w:val="24"/>
        </w:rPr>
        <w:t>V</w:t>
      </w:r>
      <w:r w:rsidRPr="00B10115">
        <w:rPr>
          <w:color w:val="000000"/>
          <w:szCs w:val="24"/>
        </w:rPr>
        <w:t>uoden 201</w:t>
      </w:r>
      <w:r w:rsidR="00C36380">
        <w:rPr>
          <w:color w:val="000000"/>
          <w:szCs w:val="24"/>
        </w:rPr>
        <w:t>6 talousarviossa tilikauden alijäämä on -532 000</w:t>
      </w:r>
      <w:r>
        <w:rPr>
          <w:color w:val="000000"/>
          <w:szCs w:val="24"/>
        </w:rPr>
        <w:t xml:space="preserve"> </w:t>
      </w:r>
      <w:r w:rsidRPr="00B10115">
        <w:rPr>
          <w:color w:val="000000"/>
          <w:szCs w:val="24"/>
        </w:rPr>
        <w:t xml:space="preserve">euroa. </w:t>
      </w:r>
    </w:p>
    <w:p w:rsidR="00767DAA"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Pr>
          <w:color w:val="000000"/>
          <w:szCs w:val="24"/>
        </w:rPr>
        <w:t>Seurakuntamak</w:t>
      </w:r>
      <w:r w:rsidR="00C36380">
        <w:rPr>
          <w:color w:val="000000"/>
          <w:szCs w:val="24"/>
        </w:rPr>
        <w:t>sutulojen arvioitiin olevan 49,8</w:t>
      </w:r>
      <w:r>
        <w:rPr>
          <w:color w:val="000000"/>
          <w:szCs w:val="24"/>
        </w:rPr>
        <w:t xml:space="preserve"> milj. euroa. Toteutuma on </w:t>
      </w:r>
      <w:r w:rsidR="00C36380">
        <w:rPr>
          <w:color w:val="000000"/>
          <w:szCs w:val="24"/>
        </w:rPr>
        <w:t>arvion mukainen</w:t>
      </w:r>
      <w:r>
        <w:rPr>
          <w:color w:val="000000"/>
          <w:szCs w:val="24"/>
        </w:rPr>
        <w:t>.</w:t>
      </w:r>
    </w:p>
    <w:p w:rsidR="00767DAA" w:rsidRPr="00B10115" w:rsidRDefault="00767DAA" w:rsidP="0086334F">
      <w:pPr>
        <w:autoSpaceDE w:val="0"/>
        <w:autoSpaceDN w:val="0"/>
        <w:adjustRightInd w:val="0"/>
        <w:jc w:val="both"/>
        <w:rPr>
          <w:color w:val="000000"/>
          <w:szCs w:val="24"/>
        </w:rPr>
      </w:pPr>
      <w:r>
        <w:rPr>
          <w:color w:val="000000"/>
          <w:szCs w:val="24"/>
        </w:rPr>
        <w:tab/>
      </w:r>
    </w:p>
    <w:p w:rsidR="00767DAA" w:rsidRPr="00B10115" w:rsidRDefault="00767DAA" w:rsidP="0086334F">
      <w:pPr>
        <w:autoSpaceDE w:val="0"/>
        <w:autoSpaceDN w:val="0"/>
        <w:adjustRightInd w:val="0"/>
        <w:jc w:val="both"/>
        <w:rPr>
          <w:color w:val="000000"/>
          <w:szCs w:val="24"/>
        </w:rPr>
      </w:pPr>
      <w:r>
        <w:rPr>
          <w:color w:val="000000"/>
          <w:szCs w:val="24"/>
        </w:rPr>
        <w:t>Oletus on, että</w:t>
      </w:r>
      <w:r w:rsidRPr="00B10115">
        <w:rPr>
          <w:color w:val="000000"/>
          <w:szCs w:val="24"/>
        </w:rPr>
        <w:t xml:space="preserve"> vuoden 201</w:t>
      </w:r>
      <w:r w:rsidR="00C36380">
        <w:rPr>
          <w:color w:val="000000"/>
          <w:szCs w:val="24"/>
        </w:rPr>
        <w:t>6</w:t>
      </w:r>
      <w:r w:rsidRPr="00B10115">
        <w:rPr>
          <w:color w:val="000000"/>
          <w:szCs w:val="24"/>
        </w:rPr>
        <w:t xml:space="preserve"> talousarvio toteutunee kirkolliskokouksen päättämällä tavalla.</w:t>
      </w:r>
    </w:p>
    <w:p w:rsidR="00767DAA" w:rsidRPr="00B10115" w:rsidRDefault="00767DAA" w:rsidP="0086334F">
      <w:pPr>
        <w:autoSpaceDE w:val="0"/>
        <w:autoSpaceDN w:val="0"/>
        <w:adjustRightInd w:val="0"/>
        <w:jc w:val="both"/>
        <w:rPr>
          <w:color w:val="000000"/>
          <w:szCs w:val="24"/>
        </w:rPr>
      </w:pPr>
    </w:p>
    <w:p w:rsidR="00767DAA" w:rsidRDefault="00767DAA" w:rsidP="0086334F">
      <w:pPr>
        <w:autoSpaceDE w:val="0"/>
        <w:autoSpaceDN w:val="0"/>
        <w:adjustRightInd w:val="0"/>
        <w:jc w:val="both"/>
        <w:rPr>
          <w:b/>
          <w:i/>
          <w:szCs w:val="24"/>
        </w:rPr>
      </w:pPr>
    </w:p>
    <w:p w:rsidR="00767DAA" w:rsidRPr="00535EF9" w:rsidRDefault="00767DAA" w:rsidP="0086334F">
      <w:pPr>
        <w:autoSpaceDE w:val="0"/>
        <w:autoSpaceDN w:val="0"/>
        <w:adjustRightInd w:val="0"/>
        <w:jc w:val="both"/>
        <w:rPr>
          <w:i/>
          <w:szCs w:val="24"/>
        </w:rPr>
      </w:pPr>
      <w:r>
        <w:rPr>
          <w:b/>
          <w:i/>
          <w:szCs w:val="24"/>
        </w:rPr>
        <w:t>Kirkon yhteisen t</w:t>
      </w:r>
      <w:r w:rsidR="00675AE4">
        <w:rPr>
          <w:b/>
          <w:i/>
          <w:szCs w:val="24"/>
        </w:rPr>
        <w:t>oiminnan kehykset vuosille 201</w:t>
      </w:r>
      <w:r w:rsidR="00E03019">
        <w:rPr>
          <w:b/>
          <w:i/>
          <w:szCs w:val="24"/>
        </w:rPr>
        <w:t>7</w:t>
      </w:r>
      <w:r w:rsidR="00675AE4">
        <w:rPr>
          <w:b/>
          <w:i/>
          <w:szCs w:val="24"/>
        </w:rPr>
        <w:t>–</w:t>
      </w:r>
      <w:r>
        <w:rPr>
          <w:b/>
          <w:i/>
          <w:szCs w:val="24"/>
        </w:rPr>
        <w:t>201</w:t>
      </w:r>
      <w:r w:rsidR="00E03019">
        <w:rPr>
          <w:b/>
          <w:i/>
          <w:szCs w:val="24"/>
        </w:rPr>
        <w:t>9 (Kirkkohallitus 19</w:t>
      </w:r>
      <w:r>
        <w:rPr>
          <w:b/>
          <w:i/>
          <w:szCs w:val="24"/>
        </w:rPr>
        <w:t>.4.201</w:t>
      </w:r>
      <w:r w:rsidR="00E03019">
        <w:rPr>
          <w:b/>
          <w:i/>
          <w:szCs w:val="24"/>
        </w:rPr>
        <w:t>6</w:t>
      </w:r>
      <w:r>
        <w:rPr>
          <w:b/>
          <w:i/>
          <w:szCs w:val="24"/>
        </w:rPr>
        <w:t>)</w:t>
      </w:r>
    </w:p>
    <w:p w:rsidR="000F342B" w:rsidRDefault="000F342B" w:rsidP="0086334F">
      <w:pPr>
        <w:jc w:val="both"/>
        <w:rPr>
          <w:szCs w:val="24"/>
        </w:rPr>
      </w:pPr>
    </w:p>
    <w:p w:rsidR="000F342B" w:rsidRDefault="00767DAA" w:rsidP="0086334F">
      <w:pPr>
        <w:jc w:val="both"/>
        <w:rPr>
          <w:szCs w:val="24"/>
        </w:rPr>
      </w:pPr>
      <w:r w:rsidRPr="00D40B69">
        <w:rPr>
          <w:szCs w:val="24"/>
        </w:rPr>
        <w:t>Kirkon yhtei</w:t>
      </w:r>
      <w:r w:rsidR="000F342B">
        <w:rPr>
          <w:szCs w:val="24"/>
        </w:rPr>
        <w:t>nen toiminta sisältää osastot</w:t>
      </w:r>
      <w:r w:rsidRPr="00D40B69">
        <w:rPr>
          <w:szCs w:val="24"/>
        </w:rPr>
        <w:t xml:space="preserve"> Kirkkohallitus, </w:t>
      </w:r>
      <w:r w:rsidR="000F342B">
        <w:rPr>
          <w:szCs w:val="24"/>
        </w:rPr>
        <w:t>H</w:t>
      </w:r>
      <w:r w:rsidRPr="00D40B69">
        <w:rPr>
          <w:szCs w:val="24"/>
        </w:rPr>
        <w:t>iippakunnallinen toiminta</w:t>
      </w:r>
      <w:r w:rsidR="000F342B">
        <w:rPr>
          <w:szCs w:val="24"/>
        </w:rPr>
        <w:t xml:space="preserve">, Avustukset. sekä uutena Valtion rahoitus. Vielä vuonna 2016 valtion rahoitusta seurakunnille jaettiin osastosta Avustukset. Kirjuri-jäsentietojärjestelmän kehittämiseen varattu rahoitus 2 milj. euroa sisältyi hallinto-osaston määrärahoihin. Valtion Kirkon keskusrahastolle maksama rahoitus oli toimintakatteen alapuolella. </w:t>
      </w:r>
    </w:p>
    <w:p w:rsidR="000F342B" w:rsidRDefault="000F342B" w:rsidP="0086334F">
      <w:pPr>
        <w:jc w:val="both"/>
        <w:rPr>
          <w:szCs w:val="24"/>
        </w:rPr>
      </w:pPr>
    </w:p>
    <w:p w:rsidR="00767DAA" w:rsidRPr="00D40B69" w:rsidRDefault="00767DAA" w:rsidP="0086334F">
      <w:pPr>
        <w:jc w:val="both"/>
        <w:rPr>
          <w:szCs w:val="24"/>
        </w:rPr>
      </w:pPr>
      <w:r w:rsidRPr="00D40B69">
        <w:rPr>
          <w:szCs w:val="24"/>
        </w:rPr>
        <w:t>Tämä laadintaohje koskee Kirkkohallituksen suunnitteluyksiköitä ja hiippakuntia.</w:t>
      </w:r>
    </w:p>
    <w:p w:rsidR="00767DAA" w:rsidRPr="00D40B69" w:rsidRDefault="00767DAA" w:rsidP="0086334F">
      <w:pPr>
        <w:jc w:val="both"/>
        <w:rPr>
          <w:szCs w:val="24"/>
        </w:rPr>
      </w:pPr>
    </w:p>
    <w:p w:rsidR="00767DAA" w:rsidRPr="00D40B69" w:rsidRDefault="00767DAA" w:rsidP="0086334F">
      <w:pPr>
        <w:jc w:val="both"/>
        <w:rPr>
          <w:spacing w:val="-2"/>
          <w:szCs w:val="24"/>
        </w:rPr>
      </w:pPr>
      <w:r w:rsidRPr="00D40B69">
        <w:rPr>
          <w:szCs w:val="24"/>
        </w:rPr>
        <w:t>Kirkon keskusrahasto rahoittaa kirkon yhteisen toiminnan osuuden laskennallisen kirkollisveron (verovuoden verotulo jaettuna kirkollisveroprosentilla) perusteella perittävällä perusmaksulla. Perusmaksutulot määräytyvät kaksi vuotta aikaisempien verotulojen mukaan (vuoden 201</w:t>
      </w:r>
      <w:r w:rsidR="000F342B">
        <w:rPr>
          <w:szCs w:val="24"/>
        </w:rPr>
        <w:t>7</w:t>
      </w:r>
      <w:r w:rsidRPr="00D40B69">
        <w:rPr>
          <w:szCs w:val="24"/>
        </w:rPr>
        <w:t xml:space="preserve"> perusmaksutulot perustuvat vuoden 201</w:t>
      </w:r>
      <w:r w:rsidR="000F342B">
        <w:rPr>
          <w:szCs w:val="24"/>
        </w:rPr>
        <w:t>5</w:t>
      </w:r>
      <w:r w:rsidRPr="00D40B69">
        <w:rPr>
          <w:szCs w:val="24"/>
        </w:rPr>
        <w:t xml:space="preserve"> verotuloihin). Näin ollen seurakuntien verotuloissa mahdollisesti tapahtuvat muutokset vaikuttavat automaattisesti keskusrahaston tuloihin kahden vuoden viiveellä.  </w:t>
      </w:r>
    </w:p>
    <w:p w:rsidR="00767DAA" w:rsidRPr="00D40B69" w:rsidRDefault="00767DAA" w:rsidP="0086334F">
      <w:pPr>
        <w:jc w:val="both"/>
        <w:rPr>
          <w:szCs w:val="24"/>
        </w:rPr>
      </w:pPr>
    </w:p>
    <w:p w:rsidR="00767DAA" w:rsidRDefault="00767DAA" w:rsidP="0086334F">
      <w:pPr>
        <w:jc w:val="both"/>
        <w:rPr>
          <w:szCs w:val="24"/>
        </w:rPr>
      </w:pPr>
      <w:r w:rsidRPr="00D40B69">
        <w:rPr>
          <w:szCs w:val="24"/>
        </w:rPr>
        <w:t>Alla olevassa taulukossa on kirkolliskokouksen vahvistama toiminta- ja taloussuunnitelma vuos</w:t>
      </w:r>
      <w:r w:rsidR="00675AE4">
        <w:rPr>
          <w:szCs w:val="24"/>
        </w:rPr>
        <w:t>ille 201</w:t>
      </w:r>
      <w:r w:rsidR="000F342B">
        <w:rPr>
          <w:szCs w:val="24"/>
        </w:rPr>
        <w:t>6</w:t>
      </w:r>
      <w:r w:rsidR="00675AE4">
        <w:rPr>
          <w:szCs w:val="24"/>
        </w:rPr>
        <w:t>–</w:t>
      </w:r>
      <w:r w:rsidRPr="00D40B69">
        <w:rPr>
          <w:szCs w:val="24"/>
        </w:rPr>
        <w:t>201</w:t>
      </w:r>
      <w:r w:rsidR="000F342B">
        <w:rPr>
          <w:szCs w:val="24"/>
        </w:rPr>
        <w:t>7</w:t>
      </w:r>
      <w:r w:rsidRPr="00D40B69">
        <w:rPr>
          <w:szCs w:val="24"/>
        </w:rPr>
        <w:t xml:space="preserve"> kuitenkin siten muutettuna, että tässä on otettu huomioon </w:t>
      </w:r>
      <w:r w:rsidR="000F342B">
        <w:rPr>
          <w:szCs w:val="24"/>
        </w:rPr>
        <w:t xml:space="preserve">uusi osasto Valtion rahoitus. </w:t>
      </w:r>
    </w:p>
    <w:p w:rsidR="006543D3" w:rsidRDefault="006543D3">
      <w:pPr>
        <w:rPr>
          <w:szCs w:val="24"/>
        </w:rPr>
      </w:pPr>
      <w:r>
        <w:rPr>
          <w:szCs w:val="24"/>
        </w:rPr>
        <w:br w:type="page"/>
      </w:r>
    </w:p>
    <w:p w:rsidR="00767DAA" w:rsidRDefault="00767DAA" w:rsidP="00767DAA">
      <w:pPr>
        <w:rPr>
          <w:szCs w:val="24"/>
        </w:rPr>
      </w:pPr>
    </w:p>
    <w:tbl>
      <w:tblPr>
        <w:tblW w:w="9072" w:type="dxa"/>
        <w:tblCellMar>
          <w:left w:w="70" w:type="dxa"/>
          <w:right w:w="70" w:type="dxa"/>
        </w:tblCellMar>
        <w:tblLook w:val="04A0" w:firstRow="1" w:lastRow="0" w:firstColumn="1" w:lastColumn="0" w:noHBand="0" w:noVBand="1"/>
      </w:tblPr>
      <w:tblGrid>
        <w:gridCol w:w="3969"/>
        <w:gridCol w:w="993"/>
        <w:gridCol w:w="992"/>
        <w:gridCol w:w="1134"/>
        <w:gridCol w:w="992"/>
        <w:gridCol w:w="992"/>
      </w:tblGrid>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KIRKON YHTEINEN TOIMINTA 2015–2017</w:t>
            </w:r>
          </w:p>
        </w:tc>
        <w:tc>
          <w:tcPr>
            <w:tcW w:w="993"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1134"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r>
      <w:tr w:rsidR="006B56D6" w:rsidRPr="00012510" w:rsidTr="003C196E">
        <w:trPr>
          <w:trHeight w:val="315"/>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993"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1134"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szCs w:val="22"/>
              </w:rPr>
            </w:pP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1.000 euroa</w:t>
            </w:r>
          </w:p>
        </w:tc>
        <w:tc>
          <w:tcPr>
            <w:tcW w:w="993" w:type="dxa"/>
            <w:tcBorders>
              <w:top w:val="single" w:sz="8" w:space="0" w:color="auto"/>
              <w:left w:val="single" w:sz="8" w:space="0" w:color="auto"/>
              <w:bottom w:val="nil"/>
              <w:right w:val="single" w:sz="8" w:space="0" w:color="auto"/>
            </w:tcBorders>
            <w:shd w:val="clear" w:color="auto" w:fill="auto"/>
            <w:noWrap/>
            <w:vAlign w:val="bottom"/>
            <w:hideMark/>
          </w:tcPr>
          <w:p w:rsidR="006B56D6" w:rsidRPr="00012510" w:rsidRDefault="006B56D6" w:rsidP="003C196E">
            <w:pPr>
              <w:jc w:val="center"/>
              <w:rPr>
                <w:rFonts w:cs="Arial"/>
                <w:color w:val="000000"/>
                <w:szCs w:val="22"/>
              </w:rPr>
            </w:pPr>
            <w:r w:rsidRPr="00012510">
              <w:rPr>
                <w:rFonts w:cs="Arial"/>
                <w:color w:val="000000"/>
                <w:szCs w:val="22"/>
              </w:rPr>
              <w:t>TP</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center"/>
              <w:rPr>
                <w:rFonts w:cs="Arial"/>
                <w:color w:val="000000"/>
                <w:szCs w:val="22"/>
              </w:rPr>
            </w:pPr>
          </w:p>
        </w:tc>
        <w:tc>
          <w:tcPr>
            <w:tcW w:w="1134" w:type="dxa"/>
            <w:tcBorders>
              <w:top w:val="single" w:sz="8" w:space="0" w:color="auto"/>
              <w:left w:val="single" w:sz="8" w:space="0" w:color="auto"/>
              <w:bottom w:val="nil"/>
              <w:right w:val="single" w:sz="8" w:space="0" w:color="auto"/>
            </w:tcBorders>
            <w:shd w:val="clear" w:color="auto" w:fill="auto"/>
            <w:noWrap/>
            <w:vAlign w:val="bottom"/>
            <w:hideMark/>
          </w:tcPr>
          <w:p w:rsidR="006B56D6" w:rsidRPr="00012510" w:rsidRDefault="006B56D6" w:rsidP="003C196E">
            <w:pPr>
              <w:jc w:val="center"/>
              <w:rPr>
                <w:rFonts w:cs="Arial"/>
                <w:color w:val="000000"/>
                <w:szCs w:val="22"/>
              </w:rPr>
            </w:pPr>
            <w:r w:rsidRPr="00012510">
              <w:rPr>
                <w:rFonts w:cs="Arial"/>
                <w:color w:val="000000"/>
                <w:szCs w:val="22"/>
              </w:rPr>
              <w:t>TA</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center"/>
              <w:rPr>
                <w:rFonts w:cs="Arial"/>
                <w:color w:val="000000"/>
                <w:szCs w:val="22"/>
              </w:rPr>
            </w:pPr>
          </w:p>
        </w:tc>
        <w:tc>
          <w:tcPr>
            <w:tcW w:w="992" w:type="dxa"/>
            <w:tcBorders>
              <w:top w:val="single" w:sz="8" w:space="0" w:color="auto"/>
              <w:left w:val="single" w:sz="8" w:space="0" w:color="auto"/>
              <w:bottom w:val="nil"/>
              <w:right w:val="single" w:sz="8" w:space="0" w:color="auto"/>
            </w:tcBorders>
            <w:shd w:val="clear" w:color="auto" w:fill="auto"/>
            <w:noWrap/>
            <w:vAlign w:val="bottom"/>
            <w:hideMark/>
          </w:tcPr>
          <w:p w:rsidR="006B56D6" w:rsidRPr="00012510" w:rsidRDefault="006B56D6" w:rsidP="003C196E">
            <w:pPr>
              <w:jc w:val="center"/>
              <w:rPr>
                <w:rFonts w:cs="Arial"/>
                <w:color w:val="000000"/>
                <w:szCs w:val="22"/>
              </w:rPr>
            </w:pPr>
            <w:r w:rsidRPr="00012510">
              <w:rPr>
                <w:rFonts w:cs="Arial"/>
                <w:color w:val="000000"/>
                <w:szCs w:val="22"/>
              </w:rPr>
              <w:t>TAE</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center"/>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center"/>
              <w:rPr>
                <w:rFonts w:cs="Arial"/>
                <w:color w:val="000000"/>
                <w:szCs w:val="22"/>
              </w:rPr>
            </w:pPr>
            <w:r w:rsidRPr="00012510">
              <w:rPr>
                <w:rFonts w:cs="Arial"/>
                <w:color w:val="000000"/>
                <w:szCs w:val="22"/>
              </w:rPr>
              <w:t>2015</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cente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center"/>
              <w:rPr>
                <w:rFonts w:cs="Arial"/>
                <w:color w:val="000000"/>
                <w:szCs w:val="22"/>
              </w:rPr>
            </w:pPr>
            <w:r w:rsidRPr="00012510">
              <w:rPr>
                <w:rFonts w:cs="Arial"/>
                <w:color w:val="000000"/>
                <w:szCs w:val="22"/>
              </w:rPr>
              <w:t>2016</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cente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center"/>
              <w:rPr>
                <w:rFonts w:cs="Arial"/>
                <w:color w:val="000000"/>
                <w:szCs w:val="22"/>
              </w:rPr>
            </w:pPr>
            <w:r w:rsidRPr="00012510">
              <w:rPr>
                <w:rFonts w:cs="Arial"/>
                <w:color w:val="000000"/>
                <w:szCs w:val="22"/>
              </w:rPr>
              <w:t>2017</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center"/>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A23AEC" w:rsidRPr="00012510" w:rsidTr="003C196E">
        <w:trPr>
          <w:trHeight w:val="300"/>
        </w:trPr>
        <w:tc>
          <w:tcPr>
            <w:tcW w:w="3969" w:type="dxa"/>
            <w:tcBorders>
              <w:top w:val="nil"/>
              <w:left w:val="nil"/>
              <w:bottom w:val="nil"/>
              <w:right w:val="nil"/>
            </w:tcBorders>
            <w:shd w:val="clear" w:color="auto" w:fill="auto"/>
            <w:noWrap/>
            <w:vAlign w:val="bottom"/>
          </w:tcPr>
          <w:p w:rsidR="00A23AEC" w:rsidRPr="00012510" w:rsidRDefault="00A23AEC" w:rsidP="003C196E">
            <w:pPr>
              <w:jc w:val="center"/>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tcPr>
          <w:p w:rsidR="00A23AEC" w:rsidRPr="00012510" w:rsidRDefault="00A23AEC" w:rsidP="003C196E">
            <w:pPr>
              <w:rPr>
                <w:rFonts w:cs="Arial"/>
                <w:color w:val="000000"/>
                <w:szCs w:val="22"/>
              </w:rPr>
            </w:pPr>
          </w:p>
        </w:tc>
        <w:tc>
          <w:tcPr>
            <w:tcW w:w="992" w:type="dxa"/>
            <w:tcBorders>
              <w:top w:val="nil"/>
              <w:left w:val="nil"/>
              <w:bottom w:val="nil"/>
              <w:right w:val="nil"/>
            </w:tcBorders>
            <w:shd w:val="clear" w:color="auto" w:fill="auto"/>
            <w:noWrap/>
            <w:vAlign w:val="bottom"/>
          </w:tcPr>
          <w:p w:rsidR="00A23AEC" w:rsidRPr="00012510" w:rsidRDefault="00A23AEC"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tcPr>
          <w:p w:rsidR="00A23AEC" w:rsidRPr="00012510" w:rsidRDefault="00A23AEC" w:rsidP="003C196E">
            <w:pPr>
              <w:rPr>
                <w:rFonts w:cs="Arial"/>
                <w:color w:val="000000"/>
                <w:szCs w:val="22"/>
              </w:rPr>
            </w:pPr>
          </w:p>
        </w:tc>
        <w:tc>
          <w:tcPr>
            <w:tcW w:w="992" w:type="dxa"/>
            <w:tcBorders>
              <w:top w:val="nil"/>
              <w:left w:val="nil"/>
              <w:bottom w:val="nil"/>
              <w:right w:val="nil"/>
            </w:tcBorders>
            <w:shd w:val="clear" w:color="auto" w:fill="auto"/>
            <w:noWrap/>
            <w:vAlign w:val="bottom"/>
          </w:tcPr>
          <w:p w:rsidR="00A23AEC" w:rsidRPr="00012510" w:rsidRDefault="00A23AEC"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tcPr>
          <w:p w:rsidR="00A23AEC" w:rsidRPr="00012510" w:rsidRDefault="00A23AEC" w:rsidP="003C196E">
            <w:pPr>
              <w:rPr>
                <w:rFonts w:cs="Arial"/>
                <w:color w:val="000000"/>
                <w:szCs w:val="22"/>
              </w:rPr>
            </w:pP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Kirkkohallitus</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28 340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2,0 %</w:t>
            </w: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28 912</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7,2 %</w:t>
            </w: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26 832</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cente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Hiippakunnallinen toiminta</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12 829</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8,3 %</w:t>
            </w: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13 900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5,5 %</w:t>
            </w: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13 140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Avustukset</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9 681</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119 246</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6 674</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Valtion rahoituksen jako</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107 000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Perinteinen rakennusavustus</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2 684</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1 000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1 000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Valtion rahoituksesta jaettava avustus</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5 000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 xml:space="preserve"> Avustukset pl. ed.</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6 997</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6 246</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5 674</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xml:space="preserve">Valtion rahoitus </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Valtion rahoitus tulona</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proofErr w:type="gramStart"/>
            <w:r w:rsidRPr="00012510">
              <w:rPr>
                <w:rFonts w:cs="Arial"/>
                <w:i/>
                <w:iCs/>
                <w:color w:val="000000"/>
                <w:szCs w:val="22"/>
              </w:rPr>
              <w:t>-</w:t>
            </w:r>
            <w:proofErr w:type="gramEnd"/>
            <w:r w:rsidRPr="00012510">
              <w:rPr>
                <w:rFonts w:cs="Arial"/>
                <w:i/>
                <w:iCs/>
                <w:color w:val="000000"/>
                <w:szCs w:val="22"/>
              </w:rPr>
              <w:t>114 000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Rahoituksen jakaminen seurakunnille</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107 000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 xml:space="preserve">Valtion rahoitus </w:t>
            </w:r>
            <w:proofErr w:type="spellStart"/>
            <w:r w:rsidRPr="00012510">
              <w:rPr>
                <w:rFonts w:cs="Arial"/>
                <w:i/>
                <w:iCs/>
                <w:color w:val="000000"/>
                <w:szCs w:val="22"/>
              </w:rPr>
              <w:t>kul</w:t>
            </w:r>
            <w:r w:rsidR="00A23AEC">
              <w:rPr>
                <w:rFonts w:cs="Arial"/>
                <w:i/>
                <w:iCs/>
                <w:color w:val="000000"/>
                <w:szCs w:val="22"/>
              </w:rPr>
              <w:t>t</w:t>
            </w:r>
            <w:r w:rsidRPr="00012510">
              <w:rPr>
                <w:rFonts w:cs="Arial"/>
                <w:i/>
                <w:iCs/>
                <w:color w:val="000000"/>
                <w:szCs w:val="22"/>
              </w:rPr>
              <w:t>t.hist.merkittäville</w:t>
            </w:r>
            <w:proofErr w:type="spellEnd"/>
            <w:r w:rsidRPr="00012510">
              <w:rPr>
                <w:rFonts w:cs="Arial"/>
                <w:i/>
                <w:iCs/>
                <w:color w:val="000000"/>
                <w:szCs w:val="22"/>
              </w:rPr>
              <w:t xml:space="preserve"> kohteille</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5 000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Kirjuri -jäsentietojärjestelmä</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2 000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i/>
                <w:iCs/>
                <w:color w:val="000000"/>
                <w:szCs w:val="22"/>
              </w:rPr>
            </w:pPr>
            <w:r w:rsidRPr="00012510">
              <w:rPr>
                <w:rFonts w:cs="Arial"/>
                <w:i/>
                <w:iCs/>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Omakatteiset rahastot</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195</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single" w:sz="4" w:space="0" w:color="auto"/>
              <w:right w:val="nil"/>
            </w:tcBorders>
            <w:shd w:val="clear" w:color="000000" w:fill="FFFF99"/>
            <w:noWrap/>
            <w:vAlign w:val="bottom"/>
            <w:hideMark/>
          </w:tcPr>
          <w:p w:rsidR="006B56D6" w:rsidRPr="00012510" w:rsidRDefault="006B56D6" w:rsidP="003C196E">
            <w:pPr>
              <w:rPr>
                <w:rFonts w:cs="Arial"/>
                <w:color w:val="000000"/>
                <w:szCs w:val="22"/>
              </w:rPr>
            </w:pPr>
            <w:r w:rsidRPr="00012510">
              <w:rPr>
                <w:rFonts w:cs="Arial"/>
                <w:color w:val="000000"/>
                <w:szCs w:val="22"/>
              </w:rPr>
              <w:t>TOIMINTAKATE</w:t>
            </w:r>
          </w:p>
        </w:tc>
        <w:tc>
          <w:tcPr>
            <w:tcW w:w="993" w:type="dxa"/>
            <w:tcBorders>
              <w:top w:val="nil"/>
              <w:left w:val="single" w:sz="8" w:space="0" w:color="auto"/>
              <w:bottom w:val="single" w:sz="4" w:space="0" w:color="auto"/>
              <w:right w:val="single" w:sz="8" w:space="0" w:color="auto"/>
            </w:tcBorders>
            <w:shd w:val="clear" w:color="000000" w:fill="FFFF99"/>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51 045</w:t>
            </w:r>
          </w:p>
        </w:tc>
        <w:tc>
          <w:tcPr>
            <w:tcW w:w="992" w:type="dxa"/>
            <w:tcBorders>
              <w:top w:val="nil"/>
              <w:left w:val="nil"/>
              <w:bottom w:val="single" w:sz="4" w:space="0" w:color="auto"/>
              <w:right w:val="nil"/>
            </w:tcBorders>
            <w:shd w:val="clear" w:color="000000" w:fill="FFFF99"/>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1134" w:type="dxa"/>
            <w:tcBorders>
              <w:top w:val="nil"/>
              <w:left w:val="single" w:sz="8" w:space="0" w:color="auto"/>
              <w:bottom w:val="single" w:sz="4" w:space="0" w:color="auto"/>
              <w:right w:val="single" w:sz="8" w:space="0" w:color="auto"/>
            </w:tcBorders>
            <w:shd w:val="clear" w:color="000000" w:fill="FFFF99"/>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162 058</w:t>
            </w:r>
          </w:p>
        </w:tc>
        <w:tc>
          <w:tcPr>
            <w:tcW w:w="992" w:type="dxa"/>
            <w:tcBorders>
              <w:top w:val="nil"/>
              <w:left w:val="nil"/>
              <w:bottom w:val="single" w:sz="4" w:space="0" w:color="auto"/>
              <w:right w:val="nil"/>
            </w:tcBorders>
            <w:shd w:val="clear" w:color="000000" w:fill="FFFF99"/>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71,2 %</w:t>
            </w:r>
          </w:p>
        </w:tc>
        <w:tc>
          <w:tcPr>
            <w:tcW w:w="992" w:type="dxa"/>
            <w:tcBorders>
              <w:top w:val="nil"/>
              <w:left w:val="single" w:sz="8" w:space="0" w:color="auto"/>
              <w:bottom w:val="single" w:sz="4" w:space="0" w:color="auto"/>
              <w:right w:val="single" w:sz="8" w:space="0" w:color="auto"/>
            </w:tcBorders>
            <w:shd w:val="clear" w:color="000000" w:fill="FFFF99"/>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46 646</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Keskusrahastomaksut</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54 494</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8,6 %</w:t>
            </w: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49 800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0,8 %</w:t>
            </w: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49 400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roofErr w:type="gramStart"/>
            <w:r w:rsidRPr="00012510">
              <w:rPr>
                <w:rFonts w:cs="Arial"/>
                <w:i/>
                <w:iCs/>
                <w:color w:val="000000"/>
                <w:szCs w:val="22"/>
              </w:rPr>
              <w:t>Perusmaksu%</w:t>
            </w:r>
            <w:proofErr w:type="gramEnd"/>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8,20 %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7,50 %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i/>
                <w:iCs/>
                <w:color w:val="000000"/>
                <w:szCs w:val="22"/>
              </w:rPr>
            </w:pPr>
            <w:r w:rsidRPr="00012510">
              <w:rPr>
                <w:rFonts w:cs="Arial"/>
                <w:i/>
                <w:iCs/>
                <w:color w:val="000000"/>
                <w:szCs w:val="22"/>
              </w:rPr>
              <w:t>7,50 %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i/>
                <w:iCs/>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Valtion rahoitus</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114 000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Sijoitus- ja rahoitustoiminta</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1 570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1 626</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1 300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single" w:sz="4" w:space="0" w:color="auto"/>
              <w:right w:val="nil"/>
            </w:tcBorders>
            <w:shd w:val="clear" w:color="000000" w:fill="BDD7EE"/>
            <w:noWrap/>
            <w:vAlign w:val="bottom"/>
            <w:hideMark/>
          </w:tcPr>
          <w:p w:rsidR="006B56D6" w:rsidRPr="00012510" w:rsidRDefault="006B56D6" w:rsidP="003C196E">
            <w:pPr>
              <w:rPr>
                <w:rFonts w:cs="Arial"/>
                <w:color w:val="000000"/>
                <w:szCs w:val="22"/>
              </w:rPr>
            </w:pPr>
            <w:r w:rsidRPr="00012510">
              <w:rPr>
                <w:rFonts w:cs="Arial"/>
                <w:color w:val="000000"/>
                <w:szCs w:val="22"/>
              </w:rPr>
              <w:t>VUOSIKATE</w:t>
            </w:r>
          </w:p>
        </w:tc>
        <w:tc>
          <w:tcPr>
            <w:tcW w:w="993" w:type="dxa"/>
            <w:tcBorders>
              <w:top w:val="nil"/>
              <w:left w:val="single" w:sz="8" w:space="0" w:color="auto"/>
              <w:bottom w:val="single" w:sz="4" w:space="0" w:color="auto"/>
              <w:right w:val="single" w:sz="8" w:space="0" w:color="auto"/>
            </w:tcBorders>
            <w:shd w:val="clear" w:color="000000" w:fill="BDD7EE"/>
            <w:noWrap/>
            <w:vAlign w:val="bottom"/>
            <w:hideMark/>
          </w:tcPr>
          <w:p w:rsidR="006B56D6" w:rsidRPr="00012510" w:rsidRDefault="006B56D6" w:rsidP="003C196E">
            <w:pPr>
              <w:jc w:val="right"/>
              <w:rPr>
                <w:rFonts w:cs="Arial"/>
                <w:color w:val="000000"/>
                <w:szCs w:val="22"/>
              </w:rPr>
            </w:pPr>
            <w:r w:rsidRPr="00012510">
              <w:rPr>
                <w:rFonts w:cs="Arial"/>
                <w:color w:val="000000"/>
                <w:szCs w:val="22"/>
              </w:rPr>
              <w:t>5 019</w:t>
            </w:r>
          </w:p>
        </w:tc>
        <w:tc>
          <w:tcPr>
            <w:tcW w:w="992" w:type="dxa"/>
            <w:tcBorders>
              <w:top w:val="nil"/>
              <w:left w:val="nil"/>
              <w:bottom w:val="single" w:sz="4" w:space="0" w:color="auto"/>
              <w:right w:val="nil"/>
            </w:tcBorders>
            <w:shd w:val="clear" w:color="000000" w:fill="BDD7EE"/>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32,9 %</w:t>
            </w:r>
          </w:p>
        </w:tc>
        <w:tc>
          <w:tcPr>
            <w:tcW w:w="1134" w:type="dxa"/>
            <w:tcBorders>
              <w:top w:val="nil"/>
              <w:left w:val="single" w:sz="8" w:space="0" w:color="auto"/>
              <w:bottom w:val="single" w:sz="4" w:space="0" w:color="auto"/>
              <w:right w:val="single" w:sz="8" w:space="0" w:color="auto"/>
            </w:tcBorders>
            <w:shd w:val="clear" w:color="000000" w:fill="BDD7EE"/>
            <w:noWrap/>
            <w:vAlign w:val="bottom"/>
            <w:hideMark/>
          </w:tcPr>
          <w:p w:rsidR="006B56D6" w:rsidRPr="00012510" w:rsidRDefault="006B56D6" w:rsidP="003C196E">
            <w:pPr>
              <w:jc w:val="right"/>
              <w:rPr>
                <w:rFonts w:cs="Arial"/>
                <w:color w:val="000000"/>
                <w:szCs w:val="22"/>
              </w:rPr>
            </w:pPr>
            <w:r w:rsidRPr="00012510">
              <w:rPr>
                <w:rFonts w:cs="Arial"/>
                <w:color w:val="000000"/>
                <w:szCs w:val="22"/>
              </w:rPr>
              <w:t>3 368</w:t>
            </w:r>
          </w:p>
        </w:tc>
        <w:tc>
          <w:tcPr>
            <w:tcW w:w="992" w:type="dxa"/>
            <w:tcBorders>
              <w:top w:val="nil"/>
              <w:left w:val="nil"/>
              <w:bottom w:val="single" w:sz="4" w:space="0" w:color="auto"/>
              <w:right w:val="nil"/>
            </w:tcBorders>
            <w:shd w:val="clear" w:color="000000" w:fill="BDD7EE"/>
            <w:noWrap/>
            <w:vAlign w:val="bottom"/>
            <w:hideMark/>
          </w:tcPr>
          <w:p w:rsidR="006B56D6" w:rsidRPr="00012510" w:rsidRDefault="006B56D6" w:rsidP="003C196E">
            <w:pPr>
              <w:jc w:val="right"/>
              <w:rPr>
                <w:rFonts w:cs="Arial"/>
                <w:color w:val="000000"/>
                <w:szCs w:val="22"/>
              </w:rPr>
            </w:pPr>
            <w:r w:rsidRPr="00012510">
              <w:rPr>
                <w:rFonts w:cs="Arial"/>
                <w:color w:val="000000"/>
                <w:szCs w:val="22"/>
              </w:rPr>
              <w:t>20,4 %</w:t>
            </w:r>
          </w:p>
        </w:tc>
        <w:tc>
          <w:tcPr>
            <w:tcW w:w="992" w:type="dxa"/>
            <w:tcBorders>
              <w:top w:val="nil"/>
              <w:left w:val="single" w:sz="8" w:space="0" w:color="auto"/>
              <w:bottom w:val="single" w:sz="4" w:space="0" w:color="auto"/>
              <w:right w:val="single" w:sz="8" w:space="0" w:color="auto"/>
            </w:tcBorders>
            <w:shd w:val="clear" w:color="000000" w:fill="BDD7EE"/>
            <w:noWrap/>
            <w:vAlign w:val="bottom"/>
            <w:hideMark/>
          </w:tcPr>
          <w:p w:rsidR="006B56D6" w:rsidRPr="00012510" w:rsidRDefault="006B56D6" w:rsidP="003C196E">
            <w:pPr>
              <w:jc w:val="right"/>
              <w:rPr>
                <w:rFonts w:cs="Arial"/>
                <w:color w:val="000000"/>
                <w:szCs w:val="22"/>
              </w:rPr>
            </w:pPr>
            <w:r w:rsidRPr="00012510">
              <w:rPr>
                <w:rFonts w:cs="Arial"/>
                <w:color w:val="000000"/>
                <w:szCs w:val="22"/>
              </w:rPr>
              <w:t>4 054</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Poistot</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3 789</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4 000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4 000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Satunnaiset tuotot</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Tilinpäätössiirrot</w:t>
            </w: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78</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100</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jc w:val="right"/>
              <w:rPr>
                <w:rFonts w:cs="Arial"/>
                <w:color w:val="000000"/>
                <w:szCs w:val="22"/>
              </w:rPr>
            </w:pPr>
            <w:r w:rsidRPr="00012510">
              <w:rPr>
                <w:rFonts w:cs="Arial"/>
                <w:color w:val="000000"/>
                <w:szCs w:val="22"/>
              </w:rPr>
              <w:t>100</w:t>
            </w:r>
          </w:p>
        </w:tc>
      </w:tr>
      <w:tr w:rsidR="006B56D6" w:rsidRPr="00012510" w:rsidTr="003C196E">
        <w:trPr>
          <w:trHeight w:val="300"/>
        </w:trPr>
        <w:tc>
          <w:tcPr>
            <w:tcW w:w="3969" w:type="dxa"/>
            <w:tcBorders>
              <w:top w:val="nil"/>
              <w:left w:val="nil"/>
              <w:bottom w:val="nil"/>
              <w:right w:val="nil"/>
            </w:tcBorders>
            <w:shd w:val="clear" w:color="auto" w:fill="auto"/>
            <w:noWrap/>
            <w:vAlign w:val="bottom"/>
            <w:hideMark/>
          </w:tcPr>
          <w:p w:rsidR="006B56D6" w:rsidRPr="00012510" w:rsidRDefault="006B56D6" w:rsidP="003C196E">
            <w:pPr>
              <w:jc w:val="right"/>
              <w:rPr>
                <w:rFonts w:cs="Arial"/>
                <w:color w:val="000000"/>
                <w:szCs w:val="22"/>
              </w:rPr>
            </w:pPr>
          </w:p>
        </w:tc>
        <w:tc>
          <w:tcPr>
            <w:tcW w:w="993"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1134"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nil"/>
              <w:bottom w:val="nil"/>
              <w:right w:val="nil"/>
            </w:tcBorders>
            <w:shd w:val="clear" w:color="auto" w:fill="auto"/>
            <w:noWrap/>
            <w:vAlign w:val="bottom"/>
            <w:hideMark/>
          </w:tcPr>
          <w:p w:rsidR="006B56D6" w:rsidRPr="00012510" w:rsidRDefault="006B56D6" w:rsidP="003C196E">
            <w:pPr>
              <w:rPr>
                <w:rFonts w:cs="Arial"/>
                <w:color w:val="000000"/>
                <w:szCs w:val="22"/>
              </w:rPr>
            </w:pPr>
          </w:p>
        </w:tc>
        <w:tc>
          <w:tcPr>
            <w:tcW w:w="992" w:type="dxa"/>
            <w:tcBorders>
              <w:top w:val="nil"/>
              <w:left w:val="single" w:sz="8" w:space="0" w:color="auto"/>
              <w:bottom w:val="nil"/>
              <w:right w:val="single" w:sz="8" w:space="0" w:color="auto"/>
            </w:tcBorders>
            <w:shd w:val="clear" w:color="auto" w:fill="auto"/>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r>
      <w:tr w:rsidR="006B56D6" w:rsidRPr="00012510" w:rsidTr="003C196E">
        <w:trPr>
          <w:trHeight w:val="315"/>
        </w:trPr>
        <w:tc>
          <w:tcPr>
            <w:tcW w:w="3969" w:type="dxa"/>
            <w:tcBorders>
              <w:top w:val="nil"/>
              <w:left w:val="nil"/>
              <w:bottom w:val="single" w:sz="4" w:space="0" w:color="auto"/>
              <w:right w:val="nil"/>
            </w:tcBorders>
            <w:shd w:val="clear" w:color="000000" w:fill="FF99FF"/>
            <w:noWrap/>
            <w:vAlign w:val="bottom"/>
            <w:hideMark/>
          </w:tcPr>
          <w:p w:rsidR="006B56D6" w:rsidRPr="00012510" w:rsidRDefault="006B56D6" w:rsidP="003C196E">
            <w:pPr>
              <w:rPr>
                <w:rFonts w:cs="Arial"/>
                <w:color w:val="000000"/>
                <w:szCs w:val="22"/>
              </w:rPr>
            </w:pPr>
            <w:r w:rsidRPr="00012510">
              <w:rPr>
                <w:rFonts w:cs="Arial"/>
                <w:color w:val="000000"/>
                <w:szCs w:val="22"/>
              </w:rPr>
              <w:t>TILIKAUDEN YLI/ALIJÄÄMÄ</w:t>
            </w:r>
          </w:p>
        </w:tc>
        <w:tc>
          <w:tcPr>
            <w:tcW w:w="993" w:type="dxa"/>
            <w:tcBorders>
              <w:top w:val="nil"/>
              <w:left w:val="single" w:sz="8" w:space="0" w:color="auto"/>
              <w:bottom w:val="single" w:sz="8" w:space="0" w:color="auto"/>
              <w:right w:val="single" w:sz="8" w:space="0" w:color="auto"/>
            </w:tcBorders>
            <w:shd w:val="clear" w:color="000000" w:fill="FF99FF"/>
            <w:noWrap/>
            <w:vAlign w:val="bottom"/>
            <w:hideMark/>
          </w:tcPr>
          <w:p w:rsidR="006B56D6" w:rsidRPr="00012510" w:rsidRDefault="006B56D6" w:rsidP="003C196E">
            <w:pPr>
              <w:jc w:val="right"/>
              <w:rPr>
                <w:rFonts w:cs="Arial"/>
                <w:color w:val="000000"/>
                <w:szCs w:val="22"/>
              </w:rPr>
            </w:pPr>
            <w:r w:rsidRPr="00012510">
              <w:rPr>
                <w:rFonts w:cs="Arial"/>
                <w:color w:val="000000"/>
                <w:szCs w:val="22"/>
              </w:rPr>
              <w:t>1 308</w:t>
            </w:r>
          </w:p>
        </w:tc>
        <w:tc>
          <w:tcPr>
            <w:tcW w:w="992" w:type="dxa"/>
            <w:tcBorders>
              <w:top w:val="nil"/>
              <w:left w:val="nil"/>
              <w:bottom w:val="single" w:sz="4" w:space="0" w:color="auto"/>
              <w:right w:val="nil"/>
            </w:tcBorders>
            <w:shd w:val="clear" w:color="000000" w:fill="FF99FF"/>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1134" w:type="dxa"/>
            <w:tcBorders>
              <w:top w:val="nil"/>
              <w:left w:val="single" w:sz="8" w:space="0" w:color="auto"/>
              <w:bottom w:val="single" w:sz="8" w:space="0" w:color="auto"/>
              <w:right w:val="single" w:sz="8" w:space="0" w:color="auto"/>
            </w:tcBorders>
            <w:shd w:val="clear" w:color="000000" w:fill="FF99FF"/>
            <w:noWrap/>
            <w:vAlign w:val="bottom"/>
            <w:hideMark/>
          </w:tcPr>
          <w:p w:rsidR="006B56D6" w:rsidRPr="00012510" w:rsidRDefault="006B56D6" w:rsidP="003C196E">
            <w:pPr>
              <w:jc w:val="right"/>
              <w:rPr>
                <w:rFonts w:cs="Arial"/>
                <w:color w:val="000000"/>
                <w:szCs w:val="22"/>
              </w:rPr>
            </w:pPr>
            <w:proofErr w:type="gramStart"/>
            <w:r w:rsidRPr="00012510">
              <w:rPr>
                <w:rFonts w:cs="Arial"/>
                <w:color w:val="000000"/>
                <w:szCs w:val="22"/>
              </w:rPr>
              <w:t>-</w:t>
            </w:r>
            <w:proofErr w:type="gramEnd"/>
            <w:r w:rsidRPr="00012510">
              <w:rPr>
                <w:rFonts w:cs="Arial"/>
                <w:color w:val="000000"/>
                <w:szCs w:val="22"/>
              </w:rPr>
              <w:t>532</w:t>
            </w:r>
          </w:p>
        </w:tc>
        <w:tc>
          <w:tcPr>
            <w:tcW w:w="992" w:type="dxa"/>
            <w:tcBorders>
              <w:top w:val="nil"/>
              <w:left w:val="nil"/>
              <w:bottom w:val="single" w:sz="4" w:space="0" w:color="auto"/>
              <w:right w:val="nil"/>
            </w:tcBorders>
            <w:shd w:val="clear" w:color="000000" w:fill="FF99FF"/>
            <w:noWrap/>
            <w:vAlign w:val="bottom"/>
            <w:hideMark/>
          </w:tcPr>
          <w:p w:rsidR="006B56D6" w:rsidRPr="00012510" w:rsidRDefault="006B56D6" w:rsidP="003C196E">
            <w:pPr>
              <w:rPr>
                <w:rFonts w:cs="Arial"/>
                <w:color w:val="000000"/>
                <w:szCs w:val="22"/>
              </w:rPr>
            </w:pPr>
            <w:r w:rsidRPr="00012510">
              <w:rPr>
                <w:rFonts w:cs="Arial"/>
                <w:color w:val="000000"/>
                <w:szCs w:val="22"/>
              </w:rPr>
              <w:t> </w:t>
            </w:r>
          </w:p>
        </w:tc>
        <w:tc>
          <w:tcPr>
            <w:tcW w:w="992" w:type="dxa"/>
            <w:tcBorders>
              <w:top w:val="nil"/>
              <w:left w:val="single" w:sz="8" w:space="0" w:color="auto"/>
              <w:bottom w:val="single" w:sz="8" w:space="0" w:color="auto"/>
              <w:right w:val="single" w:sz="8" w:space="0" w:color="auto"/>
            </w:tcBorders>
            <w:shd w:val="clear" w:color="000000" w:fill="FF99FF"/>
            <w:noWrap/>
            <w:vAlign w:val="bottom"/>
            <w:hideMark/>
          </w:tcPr>
          <w:p w:rsidR="006B56D6" w:rsidRPr="00012510" w:rsidRDefault="006B56D6" w:rsidP="003C196E">
            <w:pPr>
              <w:jc w:val="right"/>
              <w:rPr>
                <w:rFonts w:cs="Arial"/>
                <w:color w:val="000000"/>
                <w:szCs w:val="22"/>
              </w:rPr>
            </w:pPr>
            <w:r w:rsidRPr="00012510">
              <w:rPr>
                <w:rFonts w:cs="Arial"/>
                <w:color w:val="000000"/>
                <w:szCs w:val="22"/>
              </w:rPr>
              <w:t>154</w:t>
            </w:r>
          </w:p>
        </w:tc>
      </w:tr>
    </w:tbl>
    <w:p w:rsidR="006B56D6" w:rsidRDefault="006B56D6" w:rsidP="00767DAA">
      <w:pPr>
        <w:rPr>
          <w:szCs w:val="24"/>
        </w:rPr>
      </w:pPr>
    </w:p>
    <w:p w:rsidR="006B56D6" w:rsidRDefault="006B56D6" w:rsidP="00767DAA">
      <w:pPr>
        <w:rPr>
          <w:szCs w:val="24"/>
        </w:rPr>
      </w:pPr>
    </w:p>
    <w:p w:rsidR="00767DAA" w:rsidRPr="002369F0" w:rsidRDefault="00767DAA" w:rsidP="00767DAA">
      <w:pPr>
        <w:rPr>
          <w:szCs w:val="24"/>
        </w:rPr>
      </w:pPr>
      <w:r w:rsidRPr="002369F0">
        <w:rPr>
          <w:szCs w:val="24"/>
        </w:rPr>
        <w:fldChar w:fldCharType="begin"/>
      </w:r>
      <w:r w:rsidRPr="002369F0">
        <w:rPr>
          <w:szCs w:val="24"/>
        </w:rPr>
        <w:instrText xml:space="preserve"> LINK Excel.Sheet.12 "\\\\ES2TEOS\\home\\za026186\\lrantanen\\Data\\TTS 02 -\\TTS 16-18\\TAE 16-hahmotelma-4.12.14.xlsx" Taul1!R4S1:R34S5 \a \f 4 \h  \* MERGEFORMAT </w:instrText>
      </w:r>
      <w:r w:rsidRPr="002369F0">
        <w:rPr>
          <w:szCs w:val="24"/>
        </w:rPr>
        <w:fldChar w:fldCharType="separate"/>
      </w:r>
    </w:p>
    <w:p w:rsidR="00767DAA" w:rsidRPr="002369F0" w:rsidRDefault="00767DAA" w:rsidP="00767DAA">
      <w:pPr>
        <w:rPr>
          <w:szCs w:val="24"/>
        </w:rPr>
      </w:pPr>
      <w:r w:rsidRPr="002369F0">
        <w:rPr>
          <w:szCs w:val="24"/>
        </w:rPr>
        <w:fldChar w:fldCharType="end"/>
      </w:r>
    </w:p>
    <w:p w:rsidR="00767DAA" w:rsidRPr="00D40B69" w:rsidRDefault="00767DAA" w:rsidP="00767DAA">
      <w:pPr>
        <w:rPr>
          <w:b/>
          <w:szCs w:val="24"/>
        </w:rPr>
      </w:pPr>
    </w:p>
    <w:p w:rsidR="00767DAA" w:rsidRPr="00D40B69" w:rsidRDefault="00767DAA" w:rsidP="00767DAA">
      <w:pPr>
        <w:rPr>
          <w:b/>
          <w:szCs w:val="24"/>
        </w:rPr>
      </w:pPr>
    </w:p>
    <w:p w:rsidR="00A23AEC" w:rsidRDefault="00A23AEC" w:rsidP="00767DAA">
      <w:pPr>
        <w:rPr>
          <w:szCs w:val="24"/>
        </w:rPr>
      </w:pPr>
    </w:p>
    <w:p w:rsidR="00767DAA" w:rsidRPr="00D40B69" w:rsidRDefault="00767DAA" w:rsidP="00767DAA">
      <w:pPr>
        <w:rPr>
          <w:szCs w:val="24"/>
        </w:rPr>
      </w:pPr>
      <w:r w:rsidRPr="00D40B69">
        <w:rPr>
          <w:szCs w:val="24"/>
        </w:rPr>
        <w:t>Esitys yksiköiden perustoiminnan muu</w:t>
      </w:r>
      <w:r w:rsidR="00675AE4">
        <w:rPr>
          <w:szCs w:val="24"/>
        </w:rPr>
        <w:t>tosprosenteiksi vuosille 201</w:t>
      </w:r>
      <w:r w:rsidR="006543D3">
        <w:rPr>
          <w:szCs w:val="24"/>
        </w:rPr>
        <w:t>7</w:t>
      </w:r>
      <w:r w:rsidR="00675AE4">
        <w:rPr>
          <w:szCs w:val="24"/>
        </w:rPr>
        <w:t>–</w:t>
      </w:r>
      <w:r w:rsidRPr="00D40B69">
        <w:rPr>
          <w:szCs w:val="24"/>
        </w:rPr>
        <w:t>201</w:t>
      </w:r>
      <w:r w:rsidR="006543D3">
        <w:rPr>
          <w:szCs w:val="24"/>
        </w:rPr>
        <w:t>9</w:t>
      </w:r>
      <w:r w:rsidRPr="00D40B69">
        <w:rPr>
          <w:szCs w:val="24"/>
        </w:rPr>
        <w:t xml:space="preserve"> on seuraava:</w:t>
      </w:r>
    </w:p>
    <w:p w:rsidR="00767DAA" w:rsidRPr="00D40B69" w:rsidRDefault="00767DAA" w:rsidP="00767DAA">
      <w:pPr>
        <w:rPr>
          <w:szCs w:val="24"/>
        </w:rPr>
      </w:pPr>
    </w:p>
    <w:p w:rsidR="00767DAA" w:rsidRPr="00D40B69" w:rsidRDefault="00767DAA" w:rsidP="00767DAA">
      <w:pPr>
        <w:rPr>
          <w:szCs w:val="24"/>
        </w:rPr>
      </w:pPr>
      <w:proofErr w:type="gramStart"/>
      <w:r w:rsidRPr="00D40B69">
        <w:rPr>
          <w:szCs w:val="24"/>
        </w:rPr>
        <w:t>201</w:t>
      </w:r>
      <w:r w:rsidR="006543D3">
        <w:rPr>
          <w:szCs w:val="24"/>
        </w:rPr>
        <w:t>7</w:t>
      </w:r>
      <w:r w:rsidRPr="00D40B69">
        <w:rPr>
          <w:szCs w:val="24"/>
        </w:rPr>
        <w:t xml:space="preserve">      0</w:t>
      </w:r>
      <w:proofErr w:type="gramEnd"/>
      <w:r w:rsidRPr="00D40B69">
        <w:rPr>
          <w:szCs w:val="24"/>
        </w:rPr>
        <w:t xml:space="preserve"> %</w:t>
      </w:r>
    </w:p>
    <w:p w:rsidR="00767DAA" w:rsidRPr="00D40B69" w:rsidRDefault="006543D3" w:rsidP="00767DAA">
      <w:pPr>
        <w:rPr>
          <w:szCs w:val="24"/>
        </w:rPr>
      </w:pPr>
      <w:proofErr w:type="gramStart"/>
      <w:r>
        <w:rPr>
          <w:szCs w:val="24"/>
        </w:rPr>
        <w:t>2018</w:t>
      </w:r>
      <w:r w:rsidR="00767DAA" w:rsidRPr="00D40B69">
        <w:rPr>
          <w:szCs w:val="24"/>
        </w:rPr>
        <w:t xml:space="preserve">      0</w:t>
      </w:r>
      <w:proofErr w:type="gramEnd"/>
      <w:r w:rsidR="00767DAA" w:rsidRPr="00D40B69">
        <w:rPr>
          <w:szCs w:val="24"/>
        </w:rPr>
        <w:t xml:space="preserve"> % </w:t>
      </w:r>
    </w:p>
    <w:p w:rsidR="00767DAA" w:rsidRPr="00D40B69" w:rsidRDefault="006543D3" w:rsidP="00767DAA">
      <w:pPr>
        <w:rPr>
          <w:szCs w:val="24"/>
        </w:rPr>
      </w:pPr>
      <w:proofErr w:type="gramStart"/>
      <w:r>
        <w:rPr>
          <w:szCs w:val="24"/>
        </w:rPr>
        <w:t>2019</w:t>
      </w:r>
      <w:r w:rsidR="00767DAA" w:rsidRPr="00D40B69">
        <w:rPr>
          <w:szCs w:val="24"/>
        </w:rPr>
        <w:t xml:space="preserve">      0</w:t>
      </w:r>
      <w:proofErr w:type="gramEnd"/>
      <w:r w:rsidR="00767DAA" w:rsidRPr="00D40B69">
        <w:rPr>
          <w:szCs w:val="24"/>
        </w:rPr>
        <w:t xml:space="preserve"> %</w:t>
      </w:r>
    </w:p>
    <w:p w:rsidR="00767DAA" w:rsidRPr="00D40B69" w:rsidRDefault="00767DAA" w:rsidP="00767DAA">
      <w:pPr>
        <w:rPr>
          <w:szCs w:val="24"/>
        </w:rPr>
      </w:pPr>
    </w:p>
    <w:p w:rsidR="00767DAA" w:rsidRPr="00D40B69" w:rsidRDefault="00767DAA" w:rsidP="0086334F">
      <w:pPr>
        <w:jc w:val="both"/>
        <w:rPr>
          <w:szCs w:val="24"/>
        </w:rPr>
      </w:pPr>
      <w:r w:rsidRPr="00D40B69">
        <w:rPr>
          <w:szCs w:val="24"/>
        </w:rPr>
        <w:t>Suunnittelun lähtökohtana ovat Kirkkohallituksen strategia vuoteen 2020 sekä täysistunnon strategisten pain</w:t>
      </w:r>
      <w:r w:rsidR="006543D3">
        <w:rPr>
          <w:szCs w:val="24"/>
        </w:rPr>
        <w:t>opisteiden perusteella asetetu</w:t>
      </w:r>
      <w:r w:rsidRPr="00D40B69">
        <w:rPr>
          <w:szCs w:val="24"/>
        </w:rPr>
        <w:t>t tavoitteet vuodelle 201</w:t>
      </w:r>
      <w:r w:rsidR="006543D3">
        <w:rPr>
          <w:szCs w:val="24"/>
        </w:rPr>
        <w:t>7</w:t>
      </w:r>
      <w:r w:rsidRPr="00D40B69">
        <w:rPr>
          <w:szCs w:val="24"/>
        </w:rPr>
        <w:t>. Vuoden 201</w:t>
      </w:r>
      <w:r w:rsidR="006543D3">
        <w:rPr>
          <w:szCs w:val="24"/>
        </w:rPr>
        <w:t>7</w:t>
      </w:r>
      <w:r w:rsidRPr="00D40B69">
        <w:rPr>
          <w:szCs w:val="24"/>
        </w:rPr>
        <w:t xml:space="preserve"> suunnittelussa käytetään tuloskorttia, tavoitteiden toteutumista arvioidaan v</w:t>
      </w:r>
      <w:r w:rsidR="00675AE4">
        <w:rPr>
          <w:szCs w:val="24"/>
        </w:rPr>
        <w:t>uosikertomuksessa. Vuosien 201</w:t>
      </w:r>
      <w:r w:rsidR="006543D3">
        <w:rPr>
          <w:szCs w:val="24"/>
        </w:rPr>
        <w:t>8</w:t>
      </w:r>
      <w:r w:rsidR="00675AE4">
        <w:rPr>
          <w:szCs w:val="24"/>
        </w:rPr>
        <w:t>–</w:t>
      </w:r>
      <w:r w:rsidRPr="00D40B69">
        <w:rPr>
          <w:szCs w:val="24"/>
        </w:rPr>
        <w:t>201</w:t>
      </w:r>
      <w:r w:rsidR="006543D3">
        <w:rPr>
          <w:szCs w:val="24"/>
        </w:rPr>
        <w:t>9</w:t>
      </w:r>
      <w:r w:rsidRPr="00D40B69">
        <w:rPr>
          <w:szCs w:val="24"/>
        </w:rPr>
        <w:t xml:space="preserve"> osalta laaditaan suppea erillinen toimintasuunnitelma.</w:t>
      </w:r>
    </w:p>
    <w:p w:rsidR="006543D3" w:rsidRDefault="006543D3" w:rsidP="0086334F">
      <w:pPr>
        <w:jc w:val="both"/>
        <w:rPr>
          <w:b/>
          <w:szCs w:val="24"/>
        </w:rPr>
      </w:pPr>
    </w:p>
    <w:p w:rsidR="006543D3" w:rsidRDefault="006543D3" w:rsidP="0086334F">
      <w:pPr>
        <w:jc w:val="both"/>
        <w:rPr>
          <w:b/>
          <w:szCs w:val="24"/>
        </w:rPr>
      </w:pPr>
    </w:p>
    <w:p w:rsidR="00767DAA" w:rsidRPr="00D40B69" w:rsidRDefault="00767DAA" w:rsidP="0086334F">
      <w:pPr>
        <w:jc w:val="both"/>
        <w:rPr>
          <w:b/>
          <w:szCs w:val="24"/>
        </w:rPr>
      </w:pPr>
      <w:r w:rsidRPr="00D40B69">
        <w:rPr>
          <w:b/>
          <w:szCs w:val="24"/>
        </w:rPr>
        <w:t>Hiippakunnat</w:t>
      </w:r>
    </w:p>
    <w:p w:rsidR="00767DAA" w:rsidRPr="00D40B69" w:rsidRDefault="00767DAA" w:rsidP="0086334F">
      <w:pPr>
        <w:jc w:val="both"/>
        <w:rPr>
          <w:b/>
          <w:szCs w:val="24"/>
        </w:rPr>
      </w:pPr>
    </w:p>
    <w:p w:rsidR="00767DAA" w:rsidRPr="00D40B69" w:rsidRDefault="00767DAA" w:rsidP="0086334F">
      <w:pPr>
        <w:jc w:val="both"/>
        <w:rPr>
          <w:szCs w:val="24"/>
        </w:rPr>
      </w:pPr>
      <w:r w:rsidRPr="00D40B69">
        <w:rPr>
          <w:szCs w:val="24"/>
        </w:rPr>
        <w:t>Hiippakuntien välinen ns. rahanjakomalli otettiin käyttöön vuoden 2008 määrärahoja jaettaessa. Mallin ulkopuolelle suljettiin kiinteistökulut, koska tilaratkaisut poikkeavat olennaisesti toisistaan. Tuomiokapitulien vuokrat ja vastikkeet maksetaan todellisten kustannusten mukaisina, eikä niiden muutoksilla ole vaikutusta kehyksen muutokseen.</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Rahanjakomallissa hiippakunnille varattu summa jaetaan kolmeen osaan: kiinteään osaan, muuttuvaan osaan ja erityisosaan. Erityi</w:t>
      </w:r>
      <w:r w:rsidR="00B910B4">
        <w:rPr>
          <w:szCs w:val="24"/>
        </w:rPr>
        <w:t>sosaa kapitulit saavat kuurojen</w:t>
      </w:r>
      <w:r w:rsidRPr="00D40B69">
        <w:rPr>
          <w:szCs w:val="24"/>
        </w:rPr>
        <w:t>pappien ja vankiladiakonien menoihin sekä Turun kapituli arkkipiispan menoihin. Loput varat jaetaan siten, että kiinteä osa on 62,5 % ja muuttuvat osa 37,5 %. Kiinteä osa jaetaan tasan kapitulien kesken</w:t>
      </w:r>
      <w:r w:rsidR="00B910B4">
        <w:rPr>
          <w:szCs w:val="24"/>
        </w:rPr>
        <w:t>,</w:t>
      </w:r>
      <w:r w:rsidRPr="00D40B69">
        <w:rPr>
          <w:szCs w:val="24"/>
        </w:rPr>
        <w:t xml:space="preserve"> ts. jokainen saa yhtä suuren summan. Muuttuva osa jaetaan ottaen huomioon kolme olennaisesti tuomiokapitulin toimintaan vaikuttavaa tekijää. Nämä tekijät painoarvoineen ovat: hiippakunnan väkiluku (50 %), seurakuntien lukumäärä (25 %) ja alueelliset tekijät (25 %). Alueellisia tekijöitä arvioitaessa otetaan huomioon pisimmät välimatkat hiippakunnassa ja etäisyys Helsingistä.</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Hiippakuntien välinen rahanjakomalli on päivitetty vastaamaan tämän hetken t</w:t>
      </w:r>
      <w:r w:rsidR="00B910B4">
        <w:rPr>
          <w:szCs w:val="24"/>
        </w:rPr>
        <w:t xml:space="preserve">ilannetta </w:t>
      </w:r>
      <w:r w:rsidRPr="00D40B69">
        <w:rPr>
          <w:szCs w:val="24"/>
        </w:rPr>
        <w:t>muuttuvien tekijöiden osalta. Alla olevassa taulukossa näkyvät laskelman tulokset. Sarakkeessa ”TA 201</w:t>
      </w:r>
      <w:r w:rsidR="00B910B4">
        <w:rPr>
          <w:szCs w:val="24"/>
        </w:rPr>
        <w:t>6</w:t>
      </w:r>
      <w:r w:rsidRPr="00D40B69">
        <w:rPr>
          <w:szCs w:val="24"/>
        </w:rPr>
        <w:t>” ovat vuoden 201</w:t>
      </w:r>
      <w:r w:rsidR="00B910B4">
        <w:rPr>
          <w:szCs w:val="24"/>
        </w:rPr>
        <w:t>6</w:t>
      </w:r>
      <w:r w:rsidRPr="00D40B69">
        <w:rPr>
          <w:szCs w:val="24"/>
        </w:rPr>
        <w:t xml:space="preserve"> talousarvion määrärahat palkkojen ja toimintamenojen osalta. Sarakkeessa ”Oikaistu 201</w:t>
      </w:r>
      <w:r w:rsidR="00B910B4">
        <w:rPr>
          <w:szCs w:val="24"/>
        </w:rPr>
        <w:t>6</w:t>
      </w:r>
      <w:r w:rsidRPr="00D40B69">
        <w:rPr>
          <w:szCs w:val="24"/>
        </w:rPr>
        <w:t>” näkyvät rahanjakolaskelman tulokset t</w:t>
      </w:r>
      <w:r w:rsidR="00B910B4">
        <w:rPr>
          <w:szCs w:val="24"/>
        </w:rPr>
        <w:t xml:space="preserve">ilanteessa, jossa </w:t>
      </w:r>
      <w:r w:rsidRPr="00D40B69">
        <w:rPr>
          <w:szCs w:val="24"/>
        </w:rPr>
        <w:t>muuttuva osa on päivitetty</w:t>
      </w:r>
      <w:r w:rsidR="00B910B4">
        <w:rPr>
          <w:szCs w:val="24"/>
        </w:rPr>
        <w:t>,</w:t>
      </w:r>
      <w:r w:rsidRPr="00D40B69">
        <w:rPr>
          <w:szCs w:val="24"/>
        </w:rPr>
        <w:t xml:space="preserve"> ja sarakkeessa ”Ero” nykyisen määrärahan ja päivitetyn laskelman välinen ero. </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Kehyks</w:t>
      </w:r>
      <w:r w:rsidR="00B910B4">
        <w:rPr>
          <w:szCs w:val="24"/>
        </w:rPr>
        <w:t xml:space="preserve">et vahvistettiin siten, että niiden </w:t>
      </w:r>
      <w:r w:rsidRPr="00D40B69">
        <w:rPr>
          <w:szCs w:val="24"/>
        </w:rPr>
        <w:t>hiippakuntien, joiden nykyinen määräraha on tarkistuslaskentaan verrattuna lii</w:t>
      </w:r>
      <w:r w:rsidR="00B910B4">
        <w:rPr>
          <w:szCs w:val="24"/>
        </w:rPr>
        <w:t>an alhainen, määrärahaa lisättiin</w:t>
      </w:r>
      <w:r w:rsidRPr="00D40B69">
        <w:rPr>
          <w:szCs w:val="24"/>
        </w:rPr>
        <w:t xml:space="preserve">. Samoin liikaa </w:t>
      </w:r>
      <w:r w:rsidR="00B910B4">
        <w:rPr>
          <w:szCs w:val="24"/>
        </w:rPr>
        <w:t>saaneiden määrärahaa vähennettiin. Muutokset ovat varsin pienet</w:t>
      </w:r>
      <w:r w:rsidRPr="00D40B69">
        <w:rPr>
          <w:szCs w:val="24"/>
        </w:rPr>
        <w:t>.</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Vuosien 2016, 2017 ja 2018 muutosprosentit ovat 0 %.</w:t>
      </w:r>
    </w:p>
    <w:p w:rsidR="00767DAA" w:rsidRDefault="00767DAA"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p w:rsidR="00B910B4" w:rsidRDefault="00B910B4" w:rsidP="0086334F">
      <w:pPr>
        <w:jc w:val="both"/>
        <w:rPr>
          <w:szCs w:val="24"/>
        </w:rPr>
      </w:pPr>
    </w:p>
    <w:tbl>
      <w:tblPr>
        <w:tblStyle w:val="TaulukkoRuudukko"/>
        <w:tblW w:w="0" w:type="auto"/>
        <w:tblLook w:val="04A0" w:firstRow="1" w:lastRow="0" w:firstColumn="1" w:lastColumn="0" w:noHBand="0" w:noVBand="1"/>
      </w:tblPr>
      <w:tblGrid>
        <w:gridCol w:w="2322"/>
        <w:gridCol w:w="1501"/>
        <w:gridCol w:w="1701"/>
        <w:gridCol w:w="850"/>
      </w:tblGrid>
      <w:tr w:rsidR="00B910B4" w:rsidTr="00F07A00">
        <w:tc>
          <w:tcPr>
            <w:tcW w:w="2322" w:type="dxa"/>
          </w:tcPr>
          <w:p w:rsidR="00B910B4" w:rsidRDefault="00B910B4" w:rsidP="0086334F">
            <w:pPr>
              <w:jc w:val="both"/>
              <w:rPr>
                <w:szCs w:val="24"/>
              </w:rPr>
            </w:pPr>
            <w:r>
              <w:rPr>
                <w:szCs w:val="24"/>
              </w:rPr>
              <w:t>PALKAT + TOIMINTA</w:t>
            </w:r>
          </w:p>
        </w:tc>
        <w:tc>
          <w:tcPr>
            <w:tcW w:w="1501" w:type="dxa"/>
          </w:tcPr>
          <w:p w:rsidR="00B910B4" w:rsidRDefault="00B910B4" w:rsidP="0086334F">
            <w:pPr>
              <w:jc w:val="both"/>
              <w:rPr>
                <w:szCs w:val="24"/>
              </w:rPr>
            </w:pPr>
          </w:p>
        </w:tc>
        <w:tc>
          <w:tcPr>
            <w:tcW w:w="1701" w:type="dxa"/>
          </w:tcPr>
          <w:p w:rsidR="00B910B4" w:rsidRDefault="00B910B4" w:rsidP="0086334F">
            <w:pPr>
              <w:jc w:val="both"/>
              <w:rPr>
                <w:szCs w:val="24"/>
              </w:rPr>
            </w:pPr>
          </w:p>
        </w:tc>
        <w:tc>
          <w:tcPr>
            <w:tcW w:w="850" w:type="dxa"/>
          </w:tcPr>
          <w:p w:rsidR="00B910B4" w:rsidRDefault="00B910B4" w:rsidP="0086334F">
            <w:pPr>
              <w:jc w:val="both"/>
              <w:rPr>
                <w:szCs w:val="24"/>
              </w:rPr>
            </w:pPr>
          </w:p>
        </w:tc>
      </w:tr>
      <w:tr w:rsidR="00B910B4" w:rsidTr="00F07A00">
        <w:tc>
          <w:tcPr>
            <w:tcW w:w="2322" w:type="dxa"/>
          </w:tcPr>
          <w:p w:rsidR="00B910B4" w:rsidRDefault="00B910B4" w:rsidP="0086334F">
            <w:pPr>
              <w:jc w:val="both"/>
              <w:rPr>
                <w:szCs w:val="24"/>
              </w:rPr>
            </w:pPr>
          </w:p>
        </w:tc>
        <w:tc>
          <w:tcPr>
            <w:tcW w:w="1501" w:type="dxa"/>
          </w:tcPr>
          <w:p w:rsidR="00B910B4" w:rsidRDefault="00B910B4" w:rsidP="0086334F">
            <w:pPr>
              <w:jc w:val="both"/>
              <w:rPr>
                <w:szCs w:val="24"/>
              </w:rPr>
            </w:pPr>
          </w:p>
        </w:tc>
        <w:tc>
          <w:tcPr>
            <w:tcW w:w="1701" w:type="dxa"/>
          </w:tcPr>
          <w:p w:rsidR="00B910B4" w:rsidRDefault="00B910B4" w:rsidP="0086334F">
            <w:pPr>
              <w:jc w:val="both"/>
              <w:rPr>
                <w:szCs w:val="24"/>
              </w:rPr>
            </w:pPr>
          </w:p>
        </w:tc>
        <w:tc>
          <w:tcPr>
            <w:tcW w:w="850" w:type="dxa"/>
          </w:tcPr>
          <w:p w:rsidR="00B910B4" w:rsidRDefault="00B910B4" w:rsidP="0086334F">
            <w:pPr>
              <w:jc w:val="both"/>
              <w:rPr>
                <w:szCs w:val="24"/>
              </w:rPr>
            </w:pPr>
          </w:p>
        </w:tc>
      </w:tr>
      <w:tr w:rsidR="00B910B4" w:rsidTr="00F07A00">
        <w:tc>
          <w:tcPr>
            <w:tcW w:w="2322" w:type="dxa"/>
          </w:tcPr>
          <w:p w:rsidR="00B910B4" w:rsidRDefault="00B910B4" w:rsidP="0086334F">
            <w:pPr>
              <w:jc w:val="both"/>
              <w:rPr>
                <w:szCs w:val="24"/>
              </w:rPr>
            </w:pPr>
          </w:p>
          <w:p w:rsidR="00F07A00" w:rsidRDefault="00F07A00" w:rsidP="0086334F">
            <w:pPr>
              <w:jc w:val="both"/>
              <w:rPr>
                <w:szCs w:val="24"/>
              </w:rPr>
            </w:pPr>
            <w:r>
              <w:rPr>
                <w:szCs w:val="24"/>
              </w:rPr>
              <w:t>1.000 euroa</w:t>
            </w:r>
          </w:p>
        </w:tc>
        <w:tc>
          <w:tcPr>
            <w:tcW w:w="1501" w:type="dxa"/>
          </w:tcPr>
          <w:p w:rsidR="00B910B4" w:rsidRDefault="00B910B4" w:rsidP="00B910B4">
            <w:pPr>
              <w:jc w:val="center"/>
              <w:rPr>
                <w:szCs w:val="24"/>
              </w:rPr>
            </w:pPr>
            <w:r>
              <w:rPr>
                <w:szCs w:val="24"/>
              </w:rPr>
              <w:t>TA</w:t>
            </w:r>
          </w:p>
          <w:p w:rsidR="00F07A00" w:rsidRDefault="00F07A00" w:rsidP="00B910B4">
            <w:pPr>
              <w:jc w:val="center"/>
              <w:rPr>
                <w:szCs w:val="24"/>
              </w:rPr>
            </w:pPr>
            <w:r>
              <w:rPr>
                <w:szCs w:val="24"/>
              </w:rPr>
              <w:t>2016</w:t>
            </w:r>
          </w:p>
        </w:tc>
        <w:tc>
          <w:tcPr>
            <w:tcW w:w="1701" w:type="dxa"/>
          </w:tcPr>
          <w:p w:rsidR="00B910B4" w:rsidRDefault="00B910B4" w:rsidP="00B910B4">
            <w:pPr>
              <w:jc w:val="center"/>
              <w:rPr>
                <w:szCs w:val="24"/>
              </w:rPr>
            </w:pPr>
            <w:proofErr w:type="gramStart"/>
            <w:r>
              <w:rPr>
                <w:szCs w:val="24"/>
              </w:rPr>
              <w:t>OIKAISTU</w:t>
            </w:r>
            <w:proofErr w:type="gramEnd"/>
          </w:p>
          <w:p w:rsidR="00F07A00" w:rsidRDefault="00F07A00" w:rsidP="00B910B4">
            <w:pPr>
              <w:jc w:val="center"/>
              <w:rPr>
                <w:szCs w:val="24"/>
              </w:rPr>
            </w:pPr>
            <w:r>
              <w:rPr>
                <w:szCs w:val="24"/>
              </w:rPr>
              <w:t>2016</w:t>
            </w:r>
          </w:p>
        </w:tc>
        <w:tc>
          <w:tcPr>
            <w:tcW w:w="850" w:type="dxa"/>
          </w:tcPr>
          <w:p w:rsidR="00B910B4" w:rsidRDefault="00B910B4" w:rsidP="00B910B4">
            <w:pPr>
              <w:jc w:val="center"/>
              <w:rPr>
                <w:szCs w:val="24"/>
              </w:rPr>
            </w:pPr>
            <w:r>
              <w:rPr>
                <w:szCs w:val="24"/>
              </w:rPr>
              <w:t>ERO</w:t>
            </w:r>
          </w:p>
        </w:tc>
      </w:tr>
      <w:tr w:rsidR="00B910B4" w:rsidTr="00F07A00">
        <w:tc>
          <w:tcPr>
            <w:tcW w:w="2322" w:type="dxa"/>
          </w:tcPr>
          <w:p w:rsidR="00B910B4" w:rsidRDefault="00B910B4" w:rsidP="0086334F">
            <w:pPr>
              <w:jc w:val="both"/>
              <w:rPr>
                <w:szCs w:val="24"/>
              </w:rPr>
            </w:pPr>
          </w:p>
        </w:tc>
        <w:tc>
          <w:tcPr>
            <w:tcW w:w="1501" w:type="dxa"/>
          </w:tcPr>
          <w:p w:rsidR="00B910B4" w:rsidRDefault="00B910B4" w:rsidP="00B910B4">
            <w:pPr>
              <w:jc w:val="center"/>
              <w:rPr>
                <w:szCs w:val="24"/>
              </w:rPr>
            </w:pPr>
          </w:p>
        </w:tc>
        <w:tc>
          <w:tcPr>
            <w:tcW w:w="1701" w:type="dxa"/>
          </w:tcPr>
          <w:p w:rsidR="00B910B4" w:rsidRDefault="00B910B4" w:rsidP="00B910B4">
            <w:pPr>
              <w:jc w:val="center"/>
              <w:rPr>
                <w:szCs w:val="24"/>
              </w:rPr>
            </w:pPr>
          </w:p>
        </w:tc>
        <w:tc>
          <w:tcPr>
            <w:tcW w:w="850" w:type="dxa"/>
          </w:tcPr>
          <w:p w:rsidR="00B910B4" w:rsidRDefault="00B910B4" w:rsidP="00B910B4">
            <w:pPr>
              <w:jc w:val="center"/>
              <w:rPr>
                <w:szCs w:val="24"/>
              </w:rPr>
            </w:pPr>
          </w:p>
        </w:tc>
      </w:tr>
      <w:tr w:rsidR="00B910B4" w:rsidTr="00F07A00">
        <w:tc>
          <w:tcPr>
            <w:tcW w:w="2322" w:type="dxa"/>
          </w:tcPr>
          <w:p w:rsidR="00B910B4" w:rsidRDefault="00F07A00" w:rsidP="0086334F">
            <w:pPr>
              <w:jc w:val="both"/>
              <w:rPr>
                <w:szCs w:val="24"/>
              </w:rPr>
            </w:pPr>
            <w:r>
              <w:rPr>
                <w:szCs w:val="24"/>
              </w:rPr>
              <w:t>TURKU</w:t>
            </w:r>
          </w:p>
        </w:tc>
        <w:tc>
          <w:tcPr>
            <w:tcW w:w="1501" w:type="dxa"/>
          </w:tcPr>
          <w:p w:rsidR="00B910B4" w:rsidRDefault="00F07A00" w:rsidP="00F07A00">
            <w:pPr>
              <w:jc w:val="right"/>
              <w:rPr>
                <w:szCs w:val="24"/>
              </w:rPr>
            </w:pPr>
            <w:r>
              <w:rPr>
                <w:szCs w:val="24"/>
              </w:rPr>
              <w:t>1 505</w:t>
            </w:r>
          </w:p>
        </w:tc>
        <w:tc>
          <w:tcPr>
            <w:tcW w:w="1701" w:type="dxa"/>
          </w:tcPr>
          <w:p w:rsidR="00B910B4" w:rsidRDefault="00F07A00" w:rsidP="00F07A00">
            <w:pPr>
              <w:jc w:val="right"/>
              <w:rPr>
                <w:szCs w:val="24"/>
              </w:rPr>
            </w:pPr>
            <w:r>
              <w:rPr>
                <w:szCs w:val="24"/>
              </w:rPr>
              <w:t>1 505</w:t>
            </w:r>
          </w:p>
        </w:tc>
        <w:tc>
          <w:tcPr>
            <w:tcW w:w="850" w:type="dxa"/>
          </w:tcPr>
          <w:p w:rsidR="00B910B4" w:rsidRDefault="00F07A00" w:rsidP="00F07A00">
            <w:pPr>
              <w:jc w:val="right"/>
              <w:rPr>
                <w:szCs w:val="24"/>
              </w:rPr>
            </w:pPr>
            <w:r>
              <w:rPr>
                <w:szCs w:val="24"/>
              </w:rPr>
              <w:t>0</w:t>
            </w:r>
          </w:p>
        </w:tc>
      </w:tr>
      <w:tr w:rsidR="00B910B4" w:rsidTr="00F07A00">
        <w:tc>
          <w:tcPr>
            <w:tcW w:w="2322" w:type="dxa"/>
          </w:tcPr>
          <w:p w:rsidR="00F07A00" w:rsidRDefault="00F07A00" w:rsidP="0086334F">
            <w:pPr>
              <w:jc w:val="both"/>
              <w:rPr>
                <w:szCs w:val="24"/>
              </w:rPr>
            </w:pPr>
            <w:r>
              <w:rPr>
                <w:szCs w:val="24"/>
              </w:rPr>
              <w:t>TAMPERE</w:t>
            </w:r>
          </w:p>
        </w:tc>
        <w:tc>
          <w:tcPr>
            <w:tcW w:w="1501" w:type="dxa"/>
          </w:tcPr>
          <w:p w:rsidR="00B910B4" w:rsidRDefault="00F07A00" w:rsidP="00F07A00">
            <w:pPr>
              <w:jc w:val="right"/>
              <w:rPr>
                <w:szCs w:val="24"/>
              </w:rPr>
            </w:pPr>
            <w:r>
              <w:rPr>
                <w:szCs w:val="24"/>
              </w:rPr>
              <w:t>1 149</w:t>
            </w:r>
          </w:p>
        </w:tc>
        <w:tc>
          <w:tcPr>
            <w:tcW w:w="1701" w:type="dxa"/>
          </w:tcPr>
          <w:p w:rsidR="00B910B4" w:rsidRDefault="00F07A00" w:rsidP="00F07A00">
            <w:pPr>
              <w:jc w:val="right"/>
              <w:rPr>
                <w:szCs w:val="24"/>
              </w:rPr>
            </w:pPr>
            <w:r>
              <w:rPr>
                <w:szCs w:val="24"/>
              </w:rPr>
              <w:t>1 149</w:t>
            </w:r>
          </w:p>
        </w:tc>
        <w:tc>
          <w:tcPr>
            <w:tcW w:w="850" w:type="dxa"/>
          </w:tcPr>
          <w:p w:rsidR="00B910B4" w:rsidRDefault="00F07A00" w:rsidP="00F07A00">
            <w:pPr>
              <w:jc w:val="right"/>
              <w:rPr>
                <w:szCs w:val="24"/>
              </w:rPr>
            </w:pPr>
            <w:r>
              <w:rPr>
                <w:szCs w:val="24"/>
              </w:rPr>
              <w:t>0</w:t>
            </w:r>
          </w:p>
        </w:tc>
      </w:tr>
      <w:tr w:rsidR="00B910B4" w:rsidTr="00F07A00">
        <w:tc>
          <w:tcPr>
            <w:tcW w:w="2322" w:type="dxa"/>
          </w:tcPr>
          <w:p w:rsidR="00B910B4" w:rsidRDefault="00F07A00" w:rsidP="0086334F">
            <w:pPr>
              <w:jc w:val="both"/>
              <w:rPr>
                <w:szCs w:val="24"/>
              </w:rPr>
            </w:pPr>
            <w:r>
              <w:rPr>
                <w:szCs w:val="24"/>
              </w:rPr>
              <w:t>OULU</w:t>
            </w:r>
          </w:p>
        </w:tc>
        <w:tc>
          <w:tcPr>
            <w:tcW w:w="1501" w:type="dxa"/>
          </w:tcPr>
          <w:p w:rsidR="00B910B4" w:rsidRDefault="00F07A00" w:rsidP="00F07A00">
            <w:pPr>
              <w:jc w:val="right"/>
              <w:rPr>
                <w:szCs w:val="24"/>
              </w:rPr>
            </w:pPr>
            <w:r>
              <w:rPr>
                <w:szCs w:val="24"/>
              </w:rPr>
              <w:t>1 305</w:t>
            </w:r>
          </w:p>
        </w:tc>
        <w:tc>
          <w:tcPr>
            <w:tcW w:w="1701" w:type="dxa"/>
          </w:tcPr>
          <w:p w:rsidR="00B910B4" w:rsidRDefault="00F07A00" w:rsidP="00F07A00">
            <w:pPr>
              <w:jc w:val="right"/>
              <w:rPr>
                <w:szCs w:val="24"/>
              </w:rPr>
            </w:pPr>
            <w:r>
              <w:rPr>
                <w:szCs w:val="24"/>
              </w:rPr>
              <w:t>1 306</w:t>
            </w:r>
          </w:p>
        </w:tc>
        <w:tc>
          <w:tcPr>
            <w:tcW w:w="850" w:type="dxa"/>
          </w:tcPr>
          <w:p w:rsidR="00B910B4" w:rsidRDefault="00F07A00" w:rsidP="00F07A00">
            <w:pPr>
              <w:jc w:val="right"/>
              <w:rPr>
                <w:szCs w:val="24"/>
              </w:rPr>
            </w:pPr>
            <w:r>
              <w:rPr>
                <w:szCs w:val="24"/>
              </w:rPr>
              <w:t>1</w:t>
            </w:r>
          </w:p>
        </w:tc>
      </w:tr>
      <w:tr w:rsidR="00B910B4" w:rsidTr="00F07A00">
        <w:tc>
          <w:tcPr>
            <w:tcW w:w="2322" w:type="dxa"/>
          </w:tcPr>
          <w:p w:rsidR="00B910B4" w:rsidRDefault="00F07A00" w:rsidP="0086334F">
            <w:pPr>
              <w:jc w:val="both"/>
              <w:rPr>
                <w:szCs w:val="24"/>
              </w:rPr>
            </w:pPr>
            <w:r>
              <w:rPr>
                <w:szCs w:val="24"/>
              </w:rPr>
              <w:t>MIKKELI</w:t>
            </w:r>
          </w:p>
        </w:tc>
        <w:tc>
          <w:tcPr>
            <w:tcW w:w="1501" w:type="dxa"/>
          </w:tcPr>
          <w:p w:rsidR="00B910B4" w:rsidRDefault="00F07A00" w:rsidP="00F07A00">
            <w:pPr>
              <w:jc w:val="right"/>
              <w:rPr>
                <w:szCs w:val="24"/>
              </w:rPr>
            </w:pPr>
            <w:r>
              <w:rPr>
                <w:szCs w:val="24"/>
              </w:rPr>
              <w:t>1 151</w:t>
            </w:r>
          </w:p>
        </w:tc>
        <w:tc>
          <w:tcPr>
            <w:tcW w:w="1701" w:type="dxa"/>
          </w:tcPr>
          <w:p w:rsidR="00B910B4" w:rsidRDefault="00F07A00" w:rsidP="00F07A00">
            <w:pPr>
              <w:jc w:val="right"/>
              <w:rPr>
                <w:szCs w:val="24"/>
              </w:rPr>
            </w:pPr>
            <w:r>
              <w:rPr>
                <w:szCs w:val="24"/>
              </w:rPr>
              <w:t>1 150</w:t>
            </w:r>
          </w:p>
        </w:tc>
        <w:tc>
          <w:tcPr>
            <w:tcW w:w="850" w:type="dxa"/>
          </w:tcPr>
          <w:p w:rsidR="00B910B4" w:rsidRDefault="00F07A00" w:rsidP="00F07A00">
            <w:pPr>
              <w:jc w:val="right"/>
              <w:rPr>
                <w:szCs w:val="24"/>
              </w:rPr>
            </w:pPr>
            <w:proofErr w:type="gramStart"/>
            <w:r>
              <w:rPr>
                <w:szCs w:val="24"/>
              </w:rPr>
              <w:t>-</w:t>
            </w:r>
            <w:proofErr w:type="gramEnd"/>
            <w:r>
              <w:rPr>
                <w:szCs w:val="24"/>
              </w:rPr>
              <w:t>1</w:t>
            </w:r>
          </w:p>
        </w:tc>
      </w:tr>
      <w:tr w:rsidR="00B910B4" w:rsidTr="00F07A00">
        <w:tc>
          <w:tcPr>
            <w:tcW w:w="2322" w:type="dxa"/>
          </w:tcPr>
          <w:p w:rsidR="00B910B4" w:rsidRDefault="00F07A00" w:rsidP="0086334F">
            <w:pPr>
              <w:jc w:val="both"/>
              <w:rPr>
                <w:szCs w:val="24"/>
              </w:rPr>
            </w:pPr>
            <w:r>
              <w:rPr>
                <w:szCs w:val="24"/>
              </w:rPr>
              <w:t>PORVOO</w:t>
            </w:r>
          </w:p>
        </w:tc>
        <w:tc>
          <w:tcPr>
            <w:tcW w:w="1501" w:type="dxa"/>
          </w:tcPr>
          <w:p w:rsidR="00B910B4" w:rsidRDefault="00F07A00" w:rsidP="00F07A00">
            <w:pPr>
              <w:jc w:val="right"/>
              <w:rPr>
                <w:szCs w:val="24"/>
              </w:rPr>
            </w:pPr>
            <w:r>
              <w:rPr>
                <w:szCs w:val="24"/>
              </w:rPr>
              <w:t>1 088</w:t>
            </w:r>
          </w:p>
        </w:tc>
        <w:tc>
          <w:tcPr>
            <w:tcW w:w="1701" w:type="dxa"/>
          </w:tcPr>
          <w:p w:rsidR="00B910B4" w:rsidRDefault="00F07A00" w:rsidP="00F07A00">
            <w:pPr>
              <w:jc w:val="right"/>
              <w:rPr>
                <w:szCs w:val="24"/>
              </w:rPr>
            </w:pPr>
            <w:r>
              <w:rPr>
                <w:szCs w:val="24"/>
              </w:rPr>
              <w:t>1 087</w:t>
            </w:r>
          </w:p>
        </w:tc>
        <w:tc>
          <w:tcPr>
            <w:tcW w:w="850" w:type="dxa"/>
          </w:tcPr>
          <w:p w:rsidR="00B910B4" w:rsidRDefault="00F07A00" w:rsidP="00F07A00">
            <w:pPr>
              <w:jc w:val="right"/>
              <w:rPr>
                <w:szCs w:val="24"/>
              </w:rPr>
            </w:pPr>
            <w:proofErr w:type="gramStart"/>
            <w:r>
              <w:rPr>
                <w:szCs w:val="24"/>
              </w:rPr>
              <w:t>-</w:t>
            </w:r>
            <w:proofErr w:type="gramEnd"/>
            <w:r>
              <w:rPr>
                <w:szCs w:val="24"/>
              </w:rPr>
              <w:t>1</w:t>
            </w:r>
          </w:p>
        </w:tc>
      </w:tr>
      <w:tr w:rsidR="00B910B4" w:rsidTr="00F07A00">
        <w:tc>
          <w:tcPr>
            <w:tcW w:w="2322" w:type="dxa"/>
          </w:tcPr>
          <w:p w:rsidR="00B910B4" w:rsidRDefault="00F07A00" w:rsidP="0086334F">
            <w:pPr>
              <w:jc w:val="both"/>
              <w:rPr>
                <w:szCs w:val="24"/>
              </w:rPr>
            </w:pPr>
            <w:r>
              <w:rPr>
                <w:szCs w:val="24"/>
              </w:rPr>
              <w:t>KUOPIO</w:t>
            </w:r>
          </w:p>
        </w:tc>
        <w:tc>
          <w:tcPr>
            <w:tcW w:w="1501" w:type="dxa"/>
          </w:tcPr>
          <w:p w:rsidR="00B910B4" w:rsidRDefault="00F07A00" w:rsidP="00F07A00">
            <w:pPr>
              <w:jc w:val="right"/>
              <w:rPr>
                <w:szCs w:val="24"/>
              </w:rPr>
            </w:pPr>
            <w:r>
              <w:rPr>
                <w:szCs w:val="24"/>
              </w:rPr>
              <w:t>1 246</w:t>
            </w:r>
          </w:p>
        </w:tc>
        <w:tc>
          <w:tcPr>
            <w:tcW w:w="1701" w:type="dxa"/>
          </w:tcPr>
          <w:p w:rsidR="00B910B4" w:rsidRDefault="00F07A00" w:rsidP="00F07A00">
            <w:pPr>
              <w:jc w:val="right"/>
              <w:rPr>
                <w:szCs w:val="24"/>
              </w:rPr>
            </w:pPr>
            <w:r>
              <w:rPr>
                <w:szCs w:val="24"/>
              </w:rPr>
              <w:t>1 246</w:t>
            </w:r>
          </w:p>
        </w:tc>
        <w:tc>
          <w:tcPr>
            <w:tcW w:w="850" w:type="dxa"/>
          </w:tcPr>
          <w:p w:rsidR="00B910B4" w:rsidRDefault="00F07A00" w:rsidP="00F07A00">
            <w:pPr>
              <w:jc w:val="right"/>
              <w:rPr>
                <w:szCs w:val="24"/>
              </w:rPr>
            </w:pPr>
            <w:r>
              <w:rPr>
                <w:szCs w:val="24"/>
              </w:rPr>
              <w:t>0</w:t>
            </w:r>
          </w:p>
        </w:tc>
      </w:tr>
      <w:tr w:rsidR="00B910B4" w:rsidTr="00F07A00">
        <w:tc>
          <w:tcPr>
            <w:tcW w:w="2322" w:type="dxa"/>
          </w:tcPr>
          <w:p w:rsidR="00B910B4" w:rsidRDefault="00F07A00" w:rsidP="0086334F">
            <w:pPr>
              <w:jc w:val="both"/>
              <w:rPr>
                <w:szCs w:val="24"/>
              </w:rPr>
            </w:pPr>
            <w:r>
              <w:rPr>
                <w:szCs w:val="24"/>
              </w:rPr>
              <w:t>LAPUA</w:t>
            </w:r>
          </w:p>
        </w:tc>
        <w:tc>
          <w:tcPr>
            <w:tcW w:w="1501" w:type="dxa"/>
          </w:tcPr>
          <w:p w:rsidR="00B910B4" w:rsidRDefault="00F07A00" w:rsidP="00F07A00">
            <w:pPr>
              <w:jc w:val="right"/>
              <w:rPr>
                <w:szCs w:val="24"/>
              </w:rPr>
            </w:pPr>
            <w:r>
              <w:rPr>
                <w:szCs w:val="24"/>
              </w:rPr>
              <w:t>1 201</w:t>
            </w:r>
          </w:p>
        </w:tc>
        <w:tc>
          <w:tcPr>
            <w:tcW w:w="1701" w:type="dxa"/>
          </w:tcPr>
          <w:p w:rsidR="00B910B4" w:rsidRDefault="00F07A00" w:rsidP="00F07A00">
            <w:pPr>
              <w:jc w:val="right"/>
              <w:rPr>
                <w:szCs w:val="24"/>
              </w:rPr>
            </w:pPr>
            <w:r>
              <w:rPr>
                <w:szCs w:val="24"/>
              </w:rPr>
              <w:t>1 201</w:t>
            </w:r>
          </w:p>
        </w:tc>
        <w:tc>
          <w:tcPr>
            <w:tcW w:w="850" w:type="dxa"/>
          </w:tcPr>
          <w:p w:rsidR="00B910B4" w:rsidRDefault="00F07A00" w:rsidP="00F07A00">
            <w:pPr>
              <w:jc w:val="right"/>
              <w:rPr>
                <w:szCs w:val="24"/>
              </w:rPr>
            </w:pPr>
            <w:r>
              <w:rPr>
                <w:szCs w:val="24"/>
              </w:rPr>
              <w:t>0</w:t>
            </w:r>
          </w:p>
        </w:tc>
      </w:tr>
      <w:tr w:rsidR="00F07A00" w:rsidTr="00F07A00">
        <w:tc>
          <w:tcPr>
            <w:tcW w:w="2322" w:type="dxa"/>
          </w:tcPr>
          <w:p w:rsidR="00F07A00" w:rsidRDefault="00F07A00" w:rsidP="0086334F">
            <w:pPr>
              <w:jc w:val="both"/>
              <w:rPr>
                <w:szCs w:val="24"/>
              </w:rPr>
            </w:pPr>
            <w:r>
              <w:rPr>
                <w:szCs w:val="24"/>
              </w:rPr>
              <w:t>HELSINKI</w:t>
            </w:r>
          </w:p>
        </w:tc>
        <w:tc>
          <w:tcPr>
            <w:tcW w:w="1501" w:type="dxa"/>
          </w:tcPr>
          <w:p w:rsidR="00F07A00" w:rsidRDefault="00F07A00" w:rsidP="00F07A00">
            <w:pPr>
              <w:jc w:val="right"/>
              <w:rPr>
                <w:szCs w:val="24"/>
              </w:rPr>
            </w:pPr>
            <w:r>
              <w:rPr>
                <w:szCs w:val="24"/>
              </w:rPr>
              <w:t>1 099</w:t>
            </w:r>
          </w:p>
        </w:tc>
        <w:tc>
          <w:tcPr>
            <w:tcW w:w="1701" w:type="dxa"/>
          </w:tcPr>
          <w:p w:rsidR="00F07A00" w:rsidRDefault="00F07A00" w:rsidP="00F07A00">
            <w:pPr>
              <w:jc w:val="right"/>
              <w:rPr>
                <w:szCs w:val="24"/>
              </w:rPr>
            </w:pPr>
            <w:r>
              <w:rPr>
                <w:szCs w:val="24"/>
              </w:rPr>
              <w:t>1 099</w:t>
            </w:r>
          </w:p>
        </w:tc>
        <w:tc>
          <w:tcPr>
            <w:tcW w:w="850" w:type="dxa"/>
          </w:tcPr>
          <w:p w:rsidR="00F07A00" w:rsidRDefault="00F07A00" w:rsidP="00F07A00">
            <w:pPr>
              <w:jc w:val="right"/>
              <w:rPr>
                <w:szCs w:val="24"/>
              </w:rPr>
            </w:pPr>
            <w:r>
              <w:rPr>
                <w:szCs w:val="24"/>
              </w:rPr>
              <w:t>0</w:t>
            </w:r>
          </w:p>
        </w:tc>
      </w:tr>
      <w:tr w:rsidR="00F07A00" w:rsidTr="00F07A00">
        <w:tc>
          <w:tcPr>
            <w:tcW w:w="2322" w:type="dxa"/>
          </w:tcPr>
          <w:p w:rsidR="00F07A00" w:rsidRDefault="00F07A00" w:rsidP="0086334F">
            <w:pPr>
              <w:jc w:val="both"/>
              <w:rPr>
                <w:szCs w:val="24"/>
              </w:rPr>
            </w:pPr>
            <w:r>
              <w:rPr>
                <w:szCs w:val="24"/>
              </w:rPr>
              <w:t>ESPOO</w:t>
            </w:r>
          </w:p>
        </w:tc>
        <w:tc>
          <w:tcPr>
            <w:tcW w:w="1501" w:type="dxa"/>
          </w:tcPr>
          <w:p w:rsidR="00F07A00" w:rsidRDefault="00F07A00" w:rsidP="00F07A00">
            <w:pPr>
              <w:jc w:val="right"/>
              <w:rPr>
                <w:szCs w:val="24"/>
              </w:rPr>
            </w:pPr>
            <w:r>
              <w:rPr>
                <w:szCs w:val="24"/>
              </w:rPr>
              <w:t>971</w:t>
            </w:r>
          </w:p>
        </w:tc>
        <w:tc>
          <w:tcPr>
            <w:tcW w:w="1701" w:type="dxa"/>
          </w:tcPr>
          <w:p w:rsidR="00F07A00" w:rsidRDefault="00F07A00" w:rsidP="00F07A00">
            <w:pPr>
              <w:jc w:val="right"/>
              <w:rPr>
                <w:szCs w:val="24"/>
              </w:rPr>
            </w:pPr>
            <w:r>
              <w:rPr>
                <w:szCs w:val="24"/>
              </w:rPr>
              <w:t>972</w:t>
            </w:r>
          </w:p>
        </w:tc>
        <w:tc>
          <w:tcPr>
            <w:tcW w:w="850" w:type="dxa"/>
          </w:tcPr>
          <w:p w:rsidR="00F07A00" w:rsidRDefault="00F07A00" w:rsidP="00F07A00">
            <w:pPr>
              <w:jc w:val="right"/>
              <w:rPr>
                <w:szCs w:val="24"/>
              </w:rPr>
            </w:pPr>
            <w:r>
              <w:rPr>
                <w:szCs w:val="24"/>
              </w:rPr>
              <w:t>1</w:t>
            </w:r>
          </w:p>
        </w:tc>
      </w:tr>
      <w:tr w:rsidR="00F07A00" w:rsidTr="00F07A00">
        <w:tc>
          <w:tcPr>
            <w:tcW w:w="2322" w:type="dxa"/>
          </w:tcPr>
          <w:p w:rsidR="00F07A00" w:rsidRDefault="00F07A00" w:rsidP="0086334F">
            <w:pPr>
              <w:jc w:val="both"/>
              <w:rPr>
                <w:szCs w:val="24"/>
              </w:rPr>
            </w:pPr>
            <w:r>
              <w:rPr>
                <w:szCs w:val="24"/>
              </w:rPr>
              <w:t xml:space="preserve">YHT. </w:t>
            </w:r>
          </w:p>
        </w:tc>
        <w:tc>
          <w:tcPr>
            <w:tcW w:w="1501" w:type="dxa"/>
          </w:tcPr>
          <w:p w:rsidR="00F07A00" w:rsidRDefault="00F07A00" w:rsidP="00F07A00">
            <w:pPr>
              <w:jc w:val="right"/>
              <w:rPr>
                <w:szCs w:val="24"/>
              </w:rPr>
            </w:pPr>
            <w:r>
              <w:rPr>
                <w:szCs w:val="24"/>
              </w:rPr>
              <w:t>10 715</w:t>
            </w:r>
          </w:p>
        </w:tc>
        <w:tc>
          <w:tcPr>
            <w:tcW w:w="1701" w:type="dxa"/>
          </w:tcPr>
          <w:p w:rsidR="00F07A00" w:rsidRDefault="00F07A00" w:rsidP="00F07A00">
            <w:pPr>
              <w:jc w:val="right"/>
              <w:rPr>
                <w:szCs w:val="24"/>
              </w:rPr>
            </w:pPr>
            <w:r>
              <w:rPr>
                <w:szCs w:val="24"/>
              </w:rPr>
              <w:t>10 715</w:t>
            </w:r>
          </w:p>
        </w:tc>
        <w:tc>
          <w:tcPr>
            <w:tcW w:w="850" w:type="dxa"/>
          </w:tcPr>
          <w:p w:rsidR="00F07A00" w:rsidRDefault="00F07A00" w:rsidP="00F07A00">
            <w:pPr>
              <w:jc w:val="right"/>
              <w:rPr>
                <w:szCs w:val="24"/>
              </w:rPr>
            </w:pPr>
            <w:r>
              <w:rPr>
                <w:szCs w:val="24"/>
              </w:rPr>
              <w:t>0</w:t>
            </w:r>
          </w:p>
        </w:tc>
      </w:tr>
    </w:tbl>
    <w:p w:rsidR="00B910B4" w:rsidRDefault="00B910B4" w:rsidP="0086334F">
      <w:pPr>
        <w:jc w:val="both"/>
        <w:rPr>
          <w:szCs w:val="24"/>
        </w:rPr>
      </w:pPr>
    </w:p>
    <w:p w:rsidR="00B910B4" w:rsidRDefault="00B910B4" w:rsidP="0086334F">
      <w:pPr>
        <w:jc w:val="both"/>
        <w:rPr>
          <w:szCs w:val="24"/>
        </w:rPr>
      </w:pPr>
    </w:p>
    <w:p w:rsidR="00767DAA" w:rsidRPr="00B10115" w:rsidRDefault="00767DAA" w:rsidP="0086334F">
      <w:pPr>
        <w:autoSpaceDE w:val="0"/>
        <w:autoSpaceDN w:val="0"/>
        <w:adjustRightInd w:val="0"/>
        <w:jc w:val="both"/>
        <w:rPr>
          <w:color w:val="000000"/>
          <w:szCs w:val="24"/>
        </w:rPr>
      </w:pPr>
    </w:p>
    <w:p w:rsidR="00767DAA" w:rsidRPr="00DA0491" w:rsidRDefault="00F07A00" w:rsidP="0086334F">
      <w:pPr>
        <w:keepNext/>
        <w:autoSpaceDE w:val="0"/>
        <w:autoSpaceDN w:val="0"/>
        <w:adjustRightInd w:val="0"/>
        <w:jc w:val="both"/>
        <w:rPr>
          <w:b/>
          <w:i/>
          <w:color w:val="000000"/>
          <w:szCs w:val="24"/>
        </w:rPr>
      </w:pPr>
      <w:r>
        <w:rPr>
          <w:b/>
          <w:i/>
          <w:color w:val="000000"/>
          <w:szCs w:val="24"/>
        </w:rPr>
        <w:t>Talousarvio</w:t>
      </w:r>
      <w:r w:rsidR="00767DAA" w:rsidRPr="00DA0491">
        <w:rPr>
          <w:b/>
          <w:i/>
          <w:color w:val="000000"/>
          <w:szCs w:val="24"/>
        </w:rPr>
        <w:t>ehdotusten tekemisen määräpäivä</w:t>
      </w:r>
    </w:p>
    <w:p w:rsidR="00767DAA" w:rsidRPr="00B10115" w:rsidRDefault="00767DAA" w:rsidP="0086334F">
      <w:pPr>
        <w:autoSpaceDE w:val="0"/>
        <w:autoSpaceDN w:val="0"/>
        <w:adjustRightInd w:val="0"/>
        <w:jc w:val="both"/>
        <w:rPr>
          <w:color w:val="000000"/>
          <w:szCs w:val="24"/>
          <w:u w:val="single"/>
        </w:rPr>
      </w:pPr>
    </w:p>
    <w:p w:rsidR="00767DAA" w:rsidRPr="00B10115" w:rsidRDefault="00767DAA" w:rsidP="0086334F">
      <w:pPr>
        <w:autoSpaceDE w:val="0"/>
        <w:autoSpaceDN w:val="0"/>
        <w:adjustRightInd w:val="0"/>
        <w:jc w:val="both"/>
        <w:rPr>
          <w:color w:val="000000"/>
          <w:szCs w:val="24"/>
        </w:rPr>
      </w:pPr>
      <w:r w:rsidRPr="00B10115">
        <w:rPr>
          <w:color w:val="000000"/>
          <w:szCs w:val="24"/>
        </w:rPr>
        <w:t>Ehdotukset talousarvioon varattaviksi määrärahoiksi toi</w:t>
      </w:r>
      <w:r>
        <w:rPr>
          <w:color w:val="000000"/>
          <w:szCs w:val="24"/>
        </w:rPr>
        <w:t>mitetaan Kirkkohallitukseen pe 2</w:t>
      </w:r>
      <w:r w:rsidR="00F07A00">
        <w:rPr>
          <w:color w:val="000000"/>
          <w:szCs w:val="24"/>
        </w:rPr>
        <w:t>7</w:t>
      </w:r>
      <w:r w:rsidRPr="00B10115">
        <w:rPr>
          <w:color w:val="000000"/>
          <w:szCs w:val="24"/>
        </w:rPr>
        <w:t>.</w:t>
      </w:r>
      <w:r>
        <w:rPr>
          <w:color w:val="000000"/>
          <w:szCs w:val="24"/>
        </w:rPr>
        <w:t>5</w:t>
      </w:r>
      <w:r w:rsidRPr="00B10115">
        <w:rPr>
          <w:color w:val="000000"/>
          <w:szCs w:val="24"/>
        </w:rPr>
        <w:t>.201</w:t>
      </w:r>
      <w:r>
        <w:rPr>
          <w:color w:val="000000"/>
          <w:szCs w:val="24"/>
        </w:rPr>
        <w:t>5</w:t>
      </w:r>
      <w:r w:rsidRPr="00B10115">
        <w:rPr>
          <w:color w:val="000000"/>
          <w:szCs w:val="24"/>
        </w:rPr>
        <w:t xml:space="preserve"> mennessä. Tällöin ehdotuksia on mahdollista valmistella riittävästi osana normaalia talousarvion valmisteluprosessia. </w:t>
      </w:r>
    </w:p>
    <w:p w:rsidR="00395753" w:rsidRPr="003E7F1E" w:rsidRDefault="00395753" w:rsidP="0086334F">
      <w:pPr>
        <w:pStyle w:val="Luettelokappale"/>
        <w:ind w:left="0"/>
        <w:jc w:val="both"/>
        <w:rPr>
          <w:szCs w:val="24"/>
        </w:rPr>
      </w:pPr>
    </w:p>
    <w:p w:rsidR="00EF0D3F" w:rsidRPr="00B10115" w:rsidRDefault="00EF0D3F" w:rsidP="00590DA9">
      <w:pPr>
        <w:autoSpaceDE w:val="0"/>
        <w:autoSpaceDN w:val="0"/>
        <w:adjustRightInd w:val="0"/>
        <w:jc w:val="both"/>
        <w:rPr>
          <w:color w:val="000000"/>
          <w:szCs w:val="24"/>
        </w:rPr>
      </w:pPr>
    </w:p>
    <w:p w:rsidR="00E73C5B" w:rsidRDefault="00E73C5B"/>
    <w:p w:rsidR="00590DA9" w:rsidRDefault="00590DA9" w:rsidP="00590DA9">
      <w:pPr>
        <w:jc w:val="both"/>
      </w:pPr>
    </w:p>
    <w:p w:rsidR="00E73C5B" w:rsidRDefault="00E73C5B" w:rsidP="00590DA9">
      <w:pPr>
        <w:jc w:val="both"/>
      </w:pPr>
      <w:r>
        <w:t xml:space="preserve">Helsingissä </w:t>
      </w:r>
      <w:r w:rsidR="00F07A00">
        <w:t>19</w:t>
      </w:r>
      <w:r>
        <w:t xml:space="preserve"> päivänä </w:t>
      </w:r>
      <w:r w:rsidR="00A71656">
        <w:t>huhti</w:t>
      </w:r>
      <w:r>
        <w:t>kuuta 20</w:t>
      </w:r>
      <w:r w:rsidR="00E012BF">
        <w:t>1</w:t>
      </w:r>
      <w:r w:rsidR="00F07A00">
        <w:t>6</w:t>
      </w:r>
    </w:p>
    <w:p w:rsidR="00E73C5B" w:rsidRDefault="00E73C5B" w:rsidP="00413F87">
      <w:pPr>
        <w:autoSpaceDE w:val="0"/>
        <w:autoSpaceDN w:val="0"/>
        <w:adjustRightInd w:val="0"/>
        <w:ind w:left="1304"/>
        <w:jc w:val="both"/>
      </w:pPr>
    </w:p>
    <w:p w:rsidR="00413F87" w:rsidRDefault="00413F87" w:rsidP="00413F87">
      <w:pPr>
        <w:autoSpaceDE w:val="0"/>
        <w:autoSpaceDN w:val="0"/>
        <w:adjustRightInd w:val="0"/>
        <w:ind w:left="1304"/>
        <w:jc w:val="both"/>
      </w:pPr>
    </w:p>
    <w:p w:rsidR="00F07A00" w:rsidRDefault="00F07A00" w:rsidP="00413F87">
      <w:pPr>
        <w:autoSpaceDE w:val="0"/>
        <w:autoSpaceDN w:val="0"/>
        <w:adjustRightInd w:val="0"/>
        <w:ind w:left="1304"/>
        <w:jc w:val="both"/>
      </w:pPr>
    </w:p>
    <w:p w:rsidR="0043400B" w:rsidRDefault="0043400B" w:rsidP="00413F87">
      <w:pPr>
        <w:autoSpaceDE w:val="0"/>
        <w:autoSpaceDN w:val="0"/>
        <w:adjustRightInd w:val="0"/>
        <w:ind w:left="1304"/>
        <w:jc w:val="both"/>
      </w:pPr>
    </w:p>
    <w:p w:rsidR="00E73C5B" w:rsidRDefault="00E73C5B" w:rsidP="00590DA9">
      <w:pPr>
        <w:jc w:val="both"/>
      </w:pPr>
      <w:r>
        <w:t>Arkkipiispa</w:t>
      </w:r>
      <w:r>
        <w:tab/>
      </w:r>
      <w:r>
        <w:tab/>
      </w:r>
      <w:r w:rsidR="00AD0F03">
        <w:t>Kari Mäkinen</w:t>
      </w:r>
    </w:p>
    <w:p w:rsidR="00E73C5B" w:rsidRDefault="00E73C5B" w:rsidP="00413F87">
      <w:pPr>
        <w:ind w:left="1304"/>
        <w:jc w:val="both"/>
      </w:pPr>
    </w:p>
    <w:p w:rsidR="00F07A00" w:rsidRDefault="00F07A00" w:rsidP="00590DA9">
      <w:pPr>
        <w:jc w:val="both"/>
      </w:pPr>
    </w:p>
    <w:p w:rsidR="00F07A00" w:rsidRDefault="00F07A00" w:rsidP="00590DA9">
      <w:pPr>
        <w:jc w:val="both"/>
      </w:pPr>
    </w:p>
    <w:p w:rsidR="00E73C5B" w:rsidRDefault="00E73C5B" w:rsidP="00590DA9">
      <w:pPr>
        <w:jc w:val="both"/>
      </w:pPr>
      <w:r>
        <w:t>Kirkkoneuvos</w:t>
      </w:r>
      <w:r>
        <w:tab/>
        <w:t>Leena Rantanen</w:t>
      </w:r>
    </w:p>
    <w:p w:rsidR="00A217E4" w:rsidRDefault="00A217E4" w:rsidP="00413F87">
      <w:pPr>
        <w:ind w:left="1304"/>
        <w:jc w:val="both"/>
      </w:pPr>
    </w:p>
    <w:sectPr w:rsidR="00A217E4" w:rsidSect="00CF1655">
      <w:headerReference w:type="even" r:id="rId8"/>
      <w:headerReference w:type="default" r:id="rId9"/>
      <w:headerReference w:type="first" r:id="rId10"/>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D58" w:rsidRDefault="00152D58">
      <w:r>
        <w:separator/>
      </w:r>
    </w:p>
  </w:endnote>
  <w:endnote w:type="continuationSeparator" w:id="0">
    <w:p w:rsidR="00152D58" w:rsidRDefault="0015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D58" w:rsidRDefault="00152D58">
      <w:r>
        <w:separator/>
      </w:r>
    </w:p>
  </w:footnote>
  <w:footnote w:type="continuationSeparator" w:id="0">
    <w:p w:rsidR="00152D58" w:rsidRDefault="00152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5C41AC" w:rsidRDefault="005C41A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CF27CD">
      <w:rPr>
        <w:rStyle w:val="Sivunumero"/>
        <w:noProof/>
      </w:rPr>
      <w:t>5</w:t>
    </w:r>
    <w:r>
      <w:rPr>
        <w:rStyle w:val="Sivunumero"/>
      </w:rPr>
      <w:fldChar w:fldCharType="end"/>
    </w:r>
  </w:p>
  <w:p w:rsidR="005C41AC" w:rsidRDefault="005C41AC">
    <w:pPr>
      <w:pStyle w:val="Yltunniste"/>
    </w:pPr>
  </w:p>
  <w:p w:rsidR="005C41AC" w:rsidRDefault="005C41AC">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pPr>
  </w:p>
  <w:p w:rsidR="005C41AC" w:rsidRDefault="005C41AC">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1D283A"/>
    <w:multiLevelType w:val="hybridMultilevel"/>
    <w:tmpl w:val="34A8597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3" w15:restartNumberingAfterBreak="0">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6B57FF"/>
    <w:multiLevelType w:val="hybridMultilevel"/>
    <w:tmpl w:val="C8166690"/>
    <w:lvl w:ilvl="0" w:tplc="5C50D570">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2D1E20FD"/>
    <w:multiLevelType w:val="hybridMultilevel"/>
    <w:tmpl w:val="3A52C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7" w15:restartNumberingAfterBreak="0">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D1B2ED2"/>
    <w:multiLevelType w:val="hybridMultilevel"/>
    <w:tmpl w:val="77C2ED94"/>
    <w:lvl w:ilvl="0" w:tplc="4EC2FABA">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CCF0D60"/>
    <w:multiLevelType w:val="hybridMultilevel"/>
    <w:tmpl w:val="1376EAB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7"/>
  </w:num>
  <w:num w:numId="4">
    <w:abstractNumId w:val="10"/>
  </w:num>
  <w:num w:numId="5">
    <w:abstractNumId w:val="3"/>
  </w:num>
  <w:num w:numId="6">
    <w:abstractNumId w:val="2"/>
  </w:num>
  <w:num w:numId="7">
    <w:abstractNumId w:val="4"/>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90A36"/>
    <w:rsid w:val="000F1C78"/>
    <w:rsid w:val="000F342B"/>
    <w:rsid w:val="000F7BF8"/>
    <w:rsid w:val="00140530"/>
    <w:rsid w:val="00152D58"/>
    <w:rsid w:val="00186FC5"/>
    <w:rsid w:val="001C0F8C"/>
    <w:rsid w:val="00200D97"/>
    <w:rsid w:val="00281014"/>
    <w:rsid w:val="002A6680"/>
    <w:rsid w:val="002E0FEF"/>
    <w:rsid w:val="002F31F6"/>
    <w:rsid w:val="00301C3E"/>
    <w:rsid w:val="003924C4"/>
    <w:rsid w:val="00395753"/>
    <w:rsid w:val="003D0C09"/>
    <w:rsid w:val="003F0E9C"/>
    <w:rsid w:val="00413F87"/>
    <w:rsid w:val="0042360D"/>
    <w:rsid w:val="0043400B"/>
    <w:rsid w:val="00451AE6"/>
    <w:rsid w:val="00456A7F"/>
    <w:rsid w:val="004758CA"/>
    <w:rsid w:val="004B176F"/>
    <w:rsid w:val="004D749F"/>
    <w:rsid w:val="004F465D"/>
    <w:rsid w:val="005155DB"/>
    <w:rsid w:val="005535EA"/>
    <w:rsid w:val="00590DA9"/>
    <w:rsid w:val="005B431B"/>
    <w:rsid w:val="005C41AC"/>
    <w:rsid w:val="005D37C3"/>
    <w:rsid w:val="005D58F5"/>
    <w:rsid w:val="0062141C"/>
    <w:rsid w:val="00637CCD"/>
    <w:rsid w:val="00645FC2"/>
    <w:rsid w:val="006543D3"/>
    <w:rsid w:val="00675AE4"/>
    <w:rsid w:val="00691F28"/>
    <w:rsid w:val="006B56D6"/>
    <w:rsid w:val="006E0628"/>
    <w:rsid w:val="006F5C8C"/>
    <w:rsid w:val="00761CDE"/>
    <w:rsid w:val="00767DAA"/>
    <w:rsid w:val="007943F3"/>
    <w:rsid w:val="00795E08"/>
    <w:rsid w:val="007A7573"/>
    <w:rsid w:val="007B13C8"/>
    <w:rsid w:val="007B43DC"/>
    <w:rsid w:val="0086334F"/>
    <w:rsid w:val="00911D6A"/>
    <w:rsid w:val="0098625D"/>
    <w:rsid w:val="009C63B7"/>
    <w:rsid w:val="009C6940"/>
    <w:rsid w:val="009D6F24"/>
    <w:rsid w:val="009E56E3"/>
    <w:rsid w:val="00A135E5"/>
    <w:rsid w:val="00A217E4"/>
    <w:rsid w:val="00A23AEC"/>
    <w:rsid w:val="00A6553C"/>
    <w:rsid w:val="00A71656"/>
    <w:rsid w:val="00AB79BD"/>
    <w:rsid w:val="00AD0F03"/>
    <w:rsid w:val="00AD7D6E"/>
    <w:rsid w:val="00AF5429"/>
    <w:rsid w:val="00B02718"/>
    <w:rsid w:val="00B11684"/>
    <w:rsid w:val="00B25C61"/>
    <w:rsid w:val="00B3438E"/>
    <w:rsid w:val="00B36A53"/>
    <w:rsid w:val="00B910B4"/>
    <w:rsid w:val="00B965C7"/>
    <w:rsid w:val="00BF1BEA"/>
    <w:rsid w:val="00C01A08"/>
    <w:rsid w:val="00C07044"/>
    <w:rsid w:val="00C11EC7"/>
    <w:rsid w:val="00C15796"/>
    <w:rsid w:val="00C36380"/>
    <w:rsid w:val="00C644BE"/>
    <w:rsid w:val="00C93588"/>
    <w:rsid w:val="00CE5D6F"/>
    <w:rsid w:val="00CF1655"/>
    <w:rsid w:val="00CF2325"/>
    <w:rsid w:val="00CF27CD"/>
    <w:rsid w:val="00DC2430"/>
    <w:rsid w:val="00DC6F02"/>
    <w:rsid w:val="00E012BF"/>
    <w:rsid w:val="00E03019"/>
    <w:rsid w:val="00E325B6"/>
    <w:rsid w:val="00E67B61"/>
    <w:rsid w:val="00E73C5B"/>
    <w:rsid w:val="00ED033A"/>
    <w:rsid w:val="00EF0223"/>
    <w:rsid w:val="00EF0D3F"/>
    <w:rsid w:val="00F07A00"/>
    <w:rsid w:val="00F1718D"/>
    <w:rsid w:val="00F4409B"/>
    <w:rsid w:val="00F639AC"/>
    <w:rsid w:val="00F85D5D"/>
    <w:rsid w:val="00FA6069"/>
    <w:rsid w:val="00FB360E"/>
    <w:rsid w:val="00FC7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3467C1-45EF-480F-95C5-67061E18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rPr>
  </w:style>
  <w:style w:type="paragraph" w:styleId="Otsikko1">
    <w:name w:val="heading 1"/>
    <w:basedOn w:val="Normaali"/>
    <w:next w:val="Normaali"/>
    <w:qFormat/>
    <w:pPr>
      <w:keepNext/>
      <w:ind w:left="2608"/>
      <w:outlineLvl w:val="0"/>
    </w:pPr>
    <w:rPr>
      <w:b/>
    </w:rPr>
  </w:style>
  <w:style w:type="paragraph" w:styleId="Otsikko2">
    <w:name w:val="heading 2"/>
    <w:basedOn w:val="Normaali"/>
    <w:next w:val="Normaali"/>
    <w:qFormat/>
    <w:pPr>
      <w:keepNext/>
      <w:autoSpaceDE w:val="0"/>
      <w:autoSpaceDN w:val="0"/>
      <w:adjustRightInd w:val="0"/>
      <w:outlineLvl w:val="1"/>
    </w:pPr>
    <w:rPr>
      <w:i/>
    </w:rPr>
  </w:style>
  <w:style w:type="paragraph" w:styleId="Otsikko3">
    <w:name w:val="heading 3"/>
    <w:basedOn w:val="Normaali"/>
    <w:next w:val="Normaali"/>
    <w:qFormat/>
    <w:pPr>
      <w:keepNext/>
      <w:jc w:val="right"/>
      <w:outlineLvl w:val="2"/>
    </w:pPr>
    <w:rPr>
      <w:b/>
      <w:bCs/>
    </w:rPr>
  </w:style>
  <w:style w:type="paragraph" w:styleId="Otsikko4">
    <w:name w:val="heading 4"/>
    <w:basedOn w:val="Normaali"/>
    <w:next w:val="Normaali"/>
    <w:qFormat/>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pPr>
      <w:keepNext/>
      <w:outlineLvl w:val="4"/>
    </w:pPr>
    <w:rPr>
      <w:b/>
      <w:bCs/>
    </w:rPr>
  </w:style>
  <w:style w:type="paragraph" w:styleId="Otsikko6">
    <w:name w:val="heading 6"/>
    <w:basedOn w:val="Normaali"/>
    <w:next w:val="Normaali"/>
    <w:qFormat/>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2608"/>
    </w:pPr>
    <w:rPr>
      <w:b/>
    </w:rPr>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Sisennettyleipteksti2">
    <w:name w:val="Body Text Indent 2"/>
    <w:basedOn w:val="Normaali"/>
    <w:semiHidden/>
    <w:pPr>
      <w:autoSpaceDE w:val="0"/>
      <w:autoSpaceDN w:val="0"/>
      <w:adjustRightInd w:val="0"/>
      <w:ind w:left="1304"/>
      <w:jc w:val="both"/>
    </w:pPr>
  </w:style>
  <w:style w:type="paragraph" w:styleId="Alatunniste">
    <w:name w:val="footer"/>
    <w:basedOn w:val="Normaali"/>
    <w:semiHidden/>
    <w:pPr>
      <w:tabs>
        <w:tab w:val="center" w:pos="4819"/>
        <w:tab w:val="right" w:pos="9638"/>
      </w:tabs>
    </w:pPr>
  </w:style>
  <w:style w:type="paragraph" w:styleId="Sisennettyleipteksti3">
    <w:name w:val="Body Text Indent 3"/>
    <w:basedOn w:val="Normaali"/>
    <w:semiHidden/>
    <w:pPr>
      <w:ind w:left="1304"/>
    </w:pPr>
  </w:style>
  <w:style w:type="paragraph" w:styleId="Leipteksti">
    <w:name w:val="Body Text"/>
    <w:basedOn w:val="Normaali"/>
    <w:semiHidden/>
    <w:rPr>
      <w:b/>
      <w:bCs/>
    </w:rPr>
  </w:style>
  <w:style w:type="paragraph" w:styleId="Seliteteksti">
    <w:name w:val="Balloon Text"/>
    <w:basedOn w:val="Normaali"/>
    <w:link w:val="SelitetekstiChar"/>
    <w:uiPriority w:val="99"/>
    <w:semiHidden/>
    <w:unhideWhenUsed/>
    <w:rsid w:val="001C0F8C"/>
    <w:rPr>
      <w:rFonts w:ascii="Tahoma" w:hAnsi="Tahoma" w:cs="Tahoma"/>
      <w:sz w:val="16"/>
      <w:szCs w:val="16"/>
    </w:rPr>
  </w:style>
  <w:style w:type="character" w:customStyle="1" w:styleId="SelitetekstiChar">
    <w:name w:val="Seliteteksti Char"/>
    <w:link w:val="Seliteteksti"/>
    <w:uiPriority w:val="99"/>
    <w:semiHidden/>
    <w:rsid w:val="001C0F8C"/>
    <w:rPr>
      <w:rFonts w:ascii="Tahoma" w:hAnsi="Tahoma" w:cs="Tahoma"/>
      <w:sz w:val="16"/>
      <w:szCs w:val="16"/>
    </w:rPr>
  </w:style>
  <w:style w:type="paragraph" w:styleId="Luettelokappale">
    <w:name w:val="List Paragraph"/>
    <w:basedOn w:val="Normaali"/>
    <w:uiPriority w:val="34"/>
    <w:qFormat/>
    <w:rsid w:val="007A7573"/>
    <w:pPr>
      <w:ind w:left="720"/>
      <w:contextualSpacing/>
    </w:pPr>
  </w:style>
  <w:style w:type="table" w:styleId="TaulukkoRuudukko">
    <w:name w:val="Table Grid"/>
    <w:basedOn w:val="Normaalitaulukko"/>
    <w:uiPriority w:val="39"/>
    <w:rsid w:val="003957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BA73-4E72-4F81-98A9-D7575887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920</Words>
  <Characters>7416</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Kirkkoneuvos Häkkisen ilmoitus 1/2007 kirkolliskokoukselle</vt:lpstr>
    </vt:vector>
  </TitlesOfParts>
  <Company>Kirkkohallitus</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subject/>
  <dc:creator>Seppo Häkkinen</dc:creator>
  <cp:keywords/>
  <cp:lastModifiedBy>Aarnio-Jääskeläinen Liisa</cp:lastModifiedBy>
  <cp:revision>7</cp:revision>
  <cp:lastPrinted>2015-04-22T12:04:00Z</cp:lastPrinted>
  <dcterms:created xsi:type="dcterms:W3CDTF">2016-04-18T10:28:00Z</dcterms:created>
  <dcterms:modified xsi:type="dcterms:W3CDTF">2016-04-20T13:40:00Z</dcterms:modified>
</cp:coreProperties>
</file>